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media/image1.jpeg" ContentType="image/jpeg"/>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240" w:before="0" w:after="0"/>
        <w:rPr>
          <w:rFonts w:eastAsia="Times New Roman" w:cs="Times New Roman" w:ascii="Times New Roman" w:hAnsi="Times New Roman"/>
          <w:sz w:val="24"/>
          <w:szCs w:val="24"/>
          <w:lang w:eastAsia="es-ES"/>
        </w:rPr>
      </w:pPr>
      <w:r>
        <w:rPr>
          <w:rFonts w:eastAsia="Times New Roman" w:cs="Times New Roman" w:ascii="Times New Roman" w:hAnsi="Times New Roman"/>
          <w:sz w:val="24"/>
          <w:szCs w:val="24"/>
          <w:lang w:eastAsia="es-ES"/>
        </w:rPr>
      </w:r>
    </w:p>
    <w:p>
      <w:pPr>
        <w:pStyle w:val="Normal"/>
        <w:spacing w:lineRule="auto" w:line="240" w:before="0" w:after="0"/>
        <w:rPr/>
      </w:pPr>
      <w:r>
        <w:rPr/>
        <w:drawing>
          <wp:anchor behindDoc="0" distT="0" distB="127000" distL="0" distR="0" simplePos="0" locked="0" layoutInCell="1" allowOverlap="1" relativeHeight="0">
            <wp:simplePos x="0" y="0"/>
            <wp:positionH relativeFrom="column">
              <wp:posOffset>4084955</wp:posOffset>
            </wp:positionH>
            <wp:positionV relativeFrom="paragraph">
              <wp:posOffset>1270</wp:posOffset>
            </wp:positionV>
            <wp:extent cx="1174115" cy="1468120"/>
            <wp:effectExtent l="0" t="0" r="0" b="0"/>
            <wp:wrapSquare wrapText="largest"/>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2"/>
                    <a:stretch>
                      <a:fillRect/>
                    </a:stretch>
                  </pic:blipFill>
                  <pic:spPr bwMode="auto">
                    <a:xfrm>
                      <a:off x="0" y="0"/>
                      <a:ext cx="1174115" cy="1468120"/>
                    </a:xfrm>
                    <a:prstGeom prst="rect">
                      <a:avLst/>
                    </a:prstGeom>
                    <a:noFill/>
                    <a:ln w="9525">
                      <a:noFill/>
                      <a:miter lim="800000"/>
                      <a:headEnd/>
                      <a:tailEnd/>
                    </a:ln>
                  </pic:spPr>
                </pic:pic>
              </a:graphicData>
            </a:graphic>
          </wp:anchor>
        </w:drawing>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rFonts w:eastAsia="Times New Roman" w:cs="Times New Roman" w:ascii="Times New Roman" w:hAnsi="Times New Roman"/>
          <w:sz w:val="24"/>
          <w:szCs w:val="24"/>
          <w:lang w:eastAsia="es-ES"/>
        </w:rPr>
      </w:pPr>
      <w:r>
        <w:rPr>
          <w:rFonts w:eastAsia="Times New Roman" w:cs="Times New Roman" w:ascii="Times New Roman" w:hAnsi="Times New Roman"/>
          <w:sz w:val="24"/>
          <w:szCs w:val="24"/>
          <w:lang w:eastAsia="es-ES"/>
        </w:rPr>
        <w:t xml:space="preserve">Juicio Delito Leve nº      </w:t>
      </w:r>
    </w:p>
    <w:p>
      <w:pPr>
        <w:pStyle w:val="Normal"/>
        <w:spacing w:lineRule="auto" w:line="240" w:before="0" w:after="0"/>
        <w:rPr>
          <w:rFonts w:eastAsia="Times New Roman" w:cs="Times New Roman" w:ascii="Times New Roman" w:hAnsi="Times New Roman"/>
          <w:sz w:val="24"/>
          <w:szCs w:val="24"/>
          <w:lang w:eastAsia="es-ES"/>
        </w:rPr>
      </w:pPr>
      <w:r>
        <w:rPr>
          <w:rFonts w:eastAsia="Times New Roman" w:cs="Times New Roman" w:ascii="Times New Roman" w:hAnsi="Times New Roman"/>
          <w:sz w:val="24"/>
          <w:szCs w:val="24"/>
          <w:lang w:eastAsia="es-ES"/>
        </w:rPr>
        <w:t>o</w:t>
      </w:r>
    </w:p>
    <w:p>
      <w:pPr>
        <w:pStyle w:val="Normal"/>
        <w:spacing w:lineRule="auto" w:line="240" w:before="0" w:after="0"/>
        <w:rPr>
          <w:rFonts w:eastAsia="Times New Roman" w:cs="Times New Roman" w:ascii="Times New Roman" w:hAnsi="Times New Roman"/>
          <w:sz w:val="24"/>
          <w:szCs w:val="24"/>
          <w:lang w:eastAsia="es-ES"/>
        </w:rPr>
      </w:pPr>
      <w:r>
        <w:rPr>
          <w:rFonts w:eastAsia="Times New Roman" w:cs="Times New Roman" w:ascii="Times New Roman" w:hAnsi="Times New Roman"/>
          <w:sz w:val="24"/>
          <w:szCs w:val="24"/>
          <w:lang w:eastAsia="es-ES"/>
        </w:rPr>
        <w:t>DDPA nº…………..</w:t>
      </w:r>
    </w:p>
    <w:p>
      <w:pPr>
        <w:pStyle w:val="Normal"/>
        <w:spacing w:lineRule="auto" w:line="240" w:before="0" w:after="0"/>
        <w:rPr>
          <w:rFonts w:eastAsia="Times New Roman" w:cs="Times New Roman" w:ascii="Times New Roman" w:hAnsi="Times New Roman"/>
          <w:sz w:val="24"/>
          <w:szCs w:val="24"/>
          <w:lang w:eastAsia="es-ES"/>
        </w:rPr>
      </w:pPr>
      <w:r>
        <w:rPr>
          <w:rFonts w:eastAsia="Times New Roman" w:cs="Times New Roman" w:ascii="Times New Roman" w:hAnsi="Times New Roman"/>
          <w:sz w:val="24"/>
          <w:szCs w:val="24"/>
          <w:lang w:eastAsia="es-ES"/>
        </w:rPr>
      </w:r>
    </w:p>
    <w:p>
      <w:pPr>
        <w:pStyle w:val="Normal"/>
        <w:spacing w:lineRule="auto" w:line="240" w:before="0" w:after="0"/>
        <w:jc w:val="center"/>
        <w:rPr>
          <w:rFonts w:eastAsia="Times New Roman" w:cs="Times New Roman" w:ascii="Times New Roman" w:hAnsi="Times New Roman"/>
          <w:b/>
          <w:bCs/>
          <w:sz w:val="24"/>
          <w:szCs w:val="24"/>
          <w:u w:val="single"/>
          <w:lang w:eastAsia="es-ES"/>
        </w:rPr>
      </w:pPr>
      <w:r>
        <w:rPr>
          <w:rFonts w:eastAsia="Times New Roman" w:cs="Times New Roman" w:ascii="Times New Roman" w:hAnsi="Times New Roman"/>
          <w:b/>
          <w:bCs/>
          <w:sz w:val="24"/>
          <w:szCs w:val="24"/>
          <w:u w:val="single"/>
          <w:lang w:eastAsia="es-ES"/>
        </w:rPr>
        <w:t>AL JUZGADO DE INSTRUCCIÓN NÚMERO …. DE ………</w:t>
      </w:r>
    </w:p>
    <w:p>
      <w:pPr>
        <w:pStyle w:val="Normal"/>
        <w:spacing w:lineRule="auto" w:line="240" w:before="0" w:after="0"/>
        <w:jc w:val="center"/>
        <w:rPr>
          <w:rFonts w:eastAsia="Times New Roman" w:cs="Times New Roman" w:ascii="Times New Roman" w:hAnsi="Times New Roman"/>
          <w:sz w:val="24"/>
          <w:szCs w:val="24"/>
          <w:u w:val="single"/>
          <w:lang w:eastAsia="es-ES"/>
        </w:rPr>
      </w:pPr>
      <w:r>
        <w:rPr>
          <w:rFonts w:eastAsia="Times New Roman" w:cs="Times New Roman" w:ascii="Times New Roman" w:hAnsi="Times New Roman"/>
          <w:sz w:val="24"/>
          <w:szCs w:val="24"/>
          <w:u w:val="single"/>
          <w:lang w:eastAsia="es-ES"/>
        </w:rPr>
      </w:r>
    </w:p>
    <w:p>
      <w:pPr>
        <w:pStyle w:val="Normal"/>
        <w:spacing w:lineRule="auto" w:line="240" w:before="0" w:after="0"/>
        <w:jc w:val="center"/>
        <w:rPr>
          <w:rFonts w:eastAsia="Times New Roman" w:cs="Times New Roman" w:ascii="Times New Roman" w:hAnsi="Times New Roman"/>
          <w:sz w:val="24"/>
          <w:szCs w:val="24"/>
          <w:lang w:eastAsia="es-ES"/>
        </w:rPr>
      </w:pPr>
      <w:r>
        <w:rPr>
          <w:rFonts w:eastAsia="Times New Roman" w:cs="Times New Roman" w:ascii="Times New Roman" w:hAnsi="Times New Roman"/>
          <w:sz w:val="24"/>
          <w:szCs w:val="24"/>
          <w:lang w:eastAsia="es-ES"/>
        </w:rPr>
      </w:r>
    </w:p>
    <w:p>
      <w:pPr>
        <w:pStyle w:val="Normal"/>
        <w:spacing w:lineRule="auto" w:line="240" w:before="0" w:after="0"/>
        <w:jc w:val="both"/>
        <w:rPr>
          <w:rFonts w:eastAsia="Times New Roman" w:cs="Times New Roman" w:ascii="Times New Roman" w:hAnsi="Times New Roman"/>
          <w:sz w:val="24"/>
          <w:szCs w:val="24"/>
          <w:lang w:eastAsia="es-ES"/>
        </w:rPr>
      </w:pPr>
      <w:r>
        <w:rPr>
          <w:rFonts w:eastAsia="Times New Roman" w:cs="Times New Roman" w:ascii="Times New Roman" w:hAnsi="Times New Roman"/>
          <w:sz w:val="24"/>
          <w:szCs w:val="24"/>
          <w:lang w:eastAsia="es-ES"/>
        </w:rPr>
        <w:t>D._________________________, con domicilio a efectos de notificaciones en_______________ y cuyas demás circunstancias personales constan en el presente procedimiento comparece ante este Juzgado y como mejor proceda en Derecho, DIGO: </w:t>
      </w:r>
    </w:p>
    <w:p>
      <w:pPr>
        <w:pStyle w:val="Normal"/>
        <w:spacing w:lineRule="auto" w:line="240" w:before="0" w:after="0"/>
        <w:jc w:val="both"/>
        <w:rPr>
          <w:rFonts w:eastAsia="Times New Roman" w:cs="Times New Roman" w:ascii="Times New Roman" w:hAnsi="Times New Roman"/>
          <w:sz w:val="24"/>
          <w:szCs w:val="24"/>
          <w:lang w:eastAsia="es-ES"/>
        </w:rPr>
      </w:pPr>
      <w:r>
        <w:rPr>
          <w:rFonts w:eastAsia="Times New Roman" w:cs="Times New Roman" w:ascii="Times New Roman" w:hAnsi="Times New Roman"/>
          <w:sz w:val="24"/>
          <w:szCs w:val="24"/>
          <w:lang w:eastAsia="es-ES"/>
        </w:rPr>
      </w:r>
    </w:p>
    <w:p>
      <w:pPr>
        <w:pStyle w:val="Normal"/>
        <w:spacing w:lineRule="auto" w:line="240" w:before="0" w:after="0"/>
        <w:jc w:val="both"/>
        <w:rPr>
          <w:rFonts w:eastAsia="Times New Roman" w:cs="Times New Roman" w:ascii="Times New Roman" w:hAnsi="Times New Roman"/>
          <w:sz w:val="24"/>
          <w:szCs w:val="24"/>
          <w:lang w:eastAsia="es-ES"/>
        </w:rPr>
      </w:pPr>
      <w:r>
        <w:rPr>
          <w:rFonts w:eastAsia="Times New Roman" w:cs="Times New Roman" w:ascii="Times New Roman" w:hAnsi="Times New Roman"/>
          <w:sz w:val="24"/>
          <w:szCs w:val="24"/>
          <w:lang w:eastAsia="es-ES"/>
        </w:rPr>
        <w:t>Que por medio del presente escrito a formular ALEGACIONES frente a la Diligencia de Ordenación/Providencia/Auto de fecha ____________ por la que se ordena el desalojo de mi vivienda habitual sin indicar un día y hora concretos, dejando abierta la fecha para ejecutar tal actuación a las Fuerzas y Cuerpos de Seguridad del Estado, en base a las siguientes,</w:t>
      </w:r>
    </w:p>
    <w:p>
      <w:pPr>
        <w:pStyle w:val="Normal"/>
        <w:spacing w:lineRule="auto" w:line="240" w:before="0" w:after="0"/>
        <w:jc w:val="both"/>
        <w:rPr>
          <w:rFonts w:eastAsia="Times New Roman" w:cs="Times New Roman" w:ascii="Times New Roman" w:hAnsi="Times New Roman"/>
          <w:sz w:val="24"/>
          <w:szCs w:val="24"/>
          <w:lang w:eastAsia="es-ES"/>
        </w:rPr>
      </w:pPr>
      <w:r>
        <w:rPr>
          <w:rFonts w:eastAsia="Times New Roman" w:cs="Times New Roman" w:ascii="Times New Roman" w:hAnsi="Times New Roman"/>
          <w:sz w:val="24"/>
          <w:szCs w:val="24"/>
          <w:lang w:eastAsia="es-ES"/>
        </w:rPr>
      </w:r>
    </w:p>
    <w:p>
      <w:pPr>
        <w:pStyle w:val="Normal"/>
        <w:spacing w:lineRule="auto" w:line="240" w:before="0" w:after="0"/>
        <w:rPr>
          <w:rFonts w:eastAsia="Times New Roman" w:cs="Times New Roman" w:ascii="Times New Roman" w:hAnsi="Times New Roman"/>
          <w:sz w:val="24"/>
          <w:szCs w:val="24"/>
          <w:lang w:eastAsia="es-ES"/>
        </w:rPr>
      </w:pPr>
      <w:r>
        <w:rPr>
          <w:rFonts w:eastAsia="Times New Roman" w:cs="Times New Roman" w:ascii="Times New Roman" w:hAnsi="Times New Roman"/>
          <w:sz w:val="24"/>
          <w:szCs w:val="24"/>
          <w:lang w:eastAsia="es-ES"/>
        </w:rPr>
      </w:r>
    </w:p>
    <w:p>
      <w:pPr>
        <w:pStyle w:val="Normal"/>
        <w:spacing w:lineRule="auto" w:line="240" w:before="0" w:after="0"/>
        <w:rPr>
          <w:rFonts w:eastAsia="Times New Roman" w:cs="Times New Roman" w:ascii="Times New Roman" w:hAnsi="Times New Roman"/>
          <w:b/>
          <w:bCs/>
          <w:sz w:val="24"/>
          <w:szCs w:val="24"/>
          <w:lang w:eastAsia="es-ES"/>
        </w:rPr>
      </w:pPr>
      <w:r>
        <w:rPr>
          <w:rFonts w:eastAsia="Times New Roman" w:cs="Times New Roman" w:ascii="Times New Roman" w:hAnsi="Times New Roman"/>
          <w:b/>
          <w:bCs/>
          <w:sz w:val="24"/>
          <w:szCs w:val="24"/>
          <w:lang w:eastAsia="es-ES"/>
        </w:rPr>
        <w:t xml:space="preserve">                                                        </w:t>
      </w:r>
      <w:r>
        <w:rPr>
          <w:rFonts w:eastAsia="Times New Roman" w:cs="Times New Roman" w:ascii="Times New Roman" w:hAnsi="Times New Roman"/>
          <w:b/>
          <w:bCs/>
          <w:sz w:val="24"/>
          <w:szCs w:val="24"/>
          <w:lang w:eastAsia="es-ES"/>
        </w:rPr>
        <w:t>ALEGACIONES</w:t>
      </w:r>
    </w:p>
    <w:p>
      <w:pPr>
        <w:pStyle w:val="Normal"/>
        <w:spacing w:lineRule="auto" w:line="240" w:before="0" w:after="0"/>
        <w:jc w:val="both"/>
        <w:rPr>
          <w:rFonts w:eastAsia="Times New Roman" w:cs="Times New Roman" w:ascii="Times New Roman" w:hAnsi="Times New Roman"/>
          <w:sz w:val="24"/>
          <w:szCs w:val="24"/>
          <w:lang w:eastAsia="es-ES"/>
        </w:rPr>
      </w:pPr>
      <w:r>
        <w:rPr>
          <w:rFonts w:eastAsia="Times New Roman" w:cs="Times New Roman" w:ascii="Times New Roman" w:hAnsi="Times New Roman"/>
          <w:sz w:val="24"/>
          <w:szCs w:val="24"/>
          <w:lang w:eastAsia="es-ES"/>
        </w:rPr>
      </w:r>
    </w:p>
    <w:p>
      <w:pPr>
        <w:pStyle w:val="Normal"/>
        <w:spacing w:lineRule="auto" w:line="240" w:before="0" w:after="0"/>
        <w:jc w:val="both"/>
        <w:rPr>
          <w:rFonts w:eastAsia="Times New Roman" w:cs="Times New Roman" w:ascii="Times New Roman" w:hAnsi="Times New Roman"/>
          <w:b/>
          <w:bCs/>
          <w:sz w:val="24"/>
          <w:szCs w:val="24"/>
          <w:lang w:eastAsia="es-ES"/>
        </w:rPr>
      </w:pPr>
      <w:r>
        <w:rPr>
          <w:rFonts w:eastAsia="Times New Roman" w:cs="Times New Roman" w:ascii="Times New Roman" w:hAnsi="Times New Roman"/>
          <w:b/>
          <w:bCs/>
          <w:sz w:val="24"/>
          <w:szCs w:val="24"/>
          <w:lang w:eastAsia="es-ES"/>
        </w:rPr>
        <w:t>PRIMERA.-</w:t>
      </w:r>
      <w:r>
        <w:rPr>
          <w:rFonts w:eastAsia="Times New Roman" w:cs="Times New Roman" w:ascii="Times New Roman" w:hAnsi="Times New Roman"/>
          <w:sz w:val="24"/>
          <w:szCs w:val="24"/>
          <w:lang w:eastAsia="es-ES"/>
        </w:rPr>
        <w:t xml:space="preserve"> </w:t>
      </w:r>
      <w:r>
        <w:rPr>
          <w:rFonts w:eastAsia="Times New Roman" w:cs="Times New Roman" w:ascii="Times New Roman" w:hAnsi="Times New Roman"/>
          <w:b/>
          <w:bCs/>
          <w:sz w:val="24"/>
          <w:szCs w:val="24"/>
          <w:lang w:eastAsia="es-ES"/>
        </w:rPr>
        <w:t>DE LA NECESARIA MOTIVACIÓN JUDICIAL SUFICIENTE Y LA DESPROPORCIÓN DE LA MEDIDA. </w:t>
      </w:r>
    </w:p>
    <w:p>
      <w:pPr>
        <w:pStyle w:val="Normal"/>
        <w:spacing w:lineRule="auto" w:line="240" w:before="0" w:after="0"/>
        <w:jc w:val="both"/>
        <w:rPr>
          <w:rFonts w:eastAsia="Times New Roman" w:cs="Times New Roman" w:ascii="Times New Roman" w:hAnsi="Times New Roman"/>
          <w:sz w:val="24"/>
          <w:szCs w:val="24"/>
          <w:lang w:eastAsia="es-ES"/>
        </w:rPr>
      </w:pPr>
      <w:r>
        <w:rPr>
          <w:rFonts w:eastAsia="Times New Roman" w:cs="Times New Roman" w:ascii="Times New Roman" w:hAnsi="Times New Roman"/>
          <w:sz w:val="24"/>
          <w:szCs w:val="24"/>
          <w:lang w:eastAsia="es-ES"/>
        </w:rPr>
      </w:r>
    </w:p>
    <w:p>
      <w:pPr>
        <w:pStyle w:val="Normal"/>
        <w:spacing w:lineRule="auto" w:line="240" w:before="0" w:after="0"/>
        <w:jc w:val="both"/>
        <w:rPr>
          <w:rFonts w:eastAsia="Times New Roman" w:cs="Times New Roman" w:ascii="Times New Roman" w:hAnsi="Times New Roman"/>
          <w:sz w:val="24"/>
          <w:szCs w:val="24"/>
          <w:lang w:eastAsia="es-ES"/>
        </w:rPr>
      </w:pPr>
      <w:r>
        <w:rPr>
          <w:rFonts w:eastAsia="Times New Roman" w:cs="Times New Roman" w:ascii="Times New Roman" w:hAnsi="Times New Roman"/>
          <w:sz w:val="24"/>
          <w:szCs w:val="24"/>
          <w:lang w:eastAsia="es-ES"/>
        </w:rPr>
        <w:t>La orden de desalojo con fecha indeterminada o abierta que mandata a las Fuerzas y Cuerpos de Seguridad a proceder al desalojo, sin que ello requiera un aviso previo y dejándolo al arbitrio de la Policía, no tiene sostén legal alguno, pues toda resolución judicial debe estar sumamente motivada y fundada en base a la Ley.</w:t>
      </w:r>
    </w:p>
    <w:p>
      <w:pPr>
        <w:pStyle w:val="Normal"/>
        <w:spacing w:lineRule="auto" w:line="240" w:before="0" w:after="0"/>
        <w:jc w:val="both"/>
        <w:rPr>
          <w:rFonts w:eastAsia="Times New Roman" w:cs="Times New Roman" w:ascii="Times New Roman" w:hAnsi="Times New Roman"/>
          <w:sz w:val="24"/>
          <w:szCs w:val="24"/>
          <w:lang w:eastAsia="es-ES"/>
        </w:rPr>
      </w:pPr>
      <w:r>
        <w:rPr>
          <w:rFonts w:eastAsia="Times New Roman" w:cs="Times New Roman" w:ascii="Times New Roman" w:hAnsi="Times New Roman"/>
          <w:sz w:val="24"/>
          <w:szCs w:val="24"/>
          <w:lang w:eastAsia="es-ES"/>
        </w:rPr>
      </w:r>
    </w:p>
    <w:p>
      <w:pPr>
        <w:pStyle w:val="Normal"/>
        <w:spacing w:lineRule="auto" w:line="240" w:before="0" w:after="0"/>
        <w:jc w:val="both"/>
        <w:rPr>
          <w:rFonts w:eastAsia="Times New Roman" w:cs="Times New Roman" w:ascii="Times New Roman" w:hAnsi="Times New Roman"/>
          <w:sz w:val="24"/>
          <w:szCs w:val="24"/>
          <w:lang w:eastAsia="es-ES"/>
        </w:rPr>
      </w:pPr>
      <w:r>
        <w:rPr>
          <w:rFonts w:eastAsia="Times New Roman" w:cs="Times New Roman" w:ascii="Times New Roman" w:hAnsi="Times New Roman"/>
          <w:sz w:val="24"/>
          <w:szCs w:val="24"/>
          <w:lang w:eastAsia="es-ES"/>
        </w:rPr>
        <w:t>Una resolución judicial que no especifica cuando ha de ejecutarse su contenido ( ni siquiera cuando hablamos de una medida cautelar) no puede  justificarse en modo alguno, pues no explicita la causa urgente que justificaría la excepcionalidad de esta medida de conformidad con lo previsto en el artículo 131 de la L.E.C., infringiendo así el principio máximo de que todas las resoluciones y decisiones de los tribunales de justicia han de estar debida y suficientemente motivadas. </w:t>
      </w:r>
    </w:p>
    <w:p>
      <w:pPr>
        <w:pStyle w:val="Normal"/>
        <w:spacing w:lineRule="auto" w:line="240" w:before="0" w:after="0"/>
        <w:jc w:val="both"/>
        <w:rPr>
          <w:rFonts w:eastAsia="Times New Roman" w:cs="Times New Roman" w:ascii="Times New Roman" w:hAnsi="Times New Roman"/>
          <w:sz w:val="24"/>
          <w:szCs w:val="24"/>
          <w:lang w:eastAsia="es-ES"/>
        </w:rPr>
      </w:pPr>
      <w:r>
        <w:rPr>
          <w:rFonts w:eastAsia="Times New Roman" w:cs="Times New Roman" w:ascii="Times New Roman" w:hAnsi="Times New Roman"/>
          <w:sz w:val="24"/>
          <w:szCs w:val="24"/>
          <w:lang w:eastAsia="es-ES"/>
        </w:rPr>
      </w:r>
    </w:p>
    <w:p>
      <w:pPr>
        <w:pStyle w:val="Normal"/>
        <w:spacing w:lineRule="auto" w:line="240" w:before="0" w:after="0"/>
        <w:jc w:val="both"/>
        <w:rPr>
          <w:rFonts w:eastAsia="Times New Roman" w:cs="Times New Roman" w:ascii="Times New Roman" w:hAnsi="Times New Roman"/>
          <w:sz w:val="24"/>
          <w:szCs w:val="24"/>
          <w:lang w:eastAsia="es-ES"/>
        </w:rPr>
      </w:pPr>
      <w:r>
        <w:rPr>
          <w:rFonts w:eastAsia="Times New Roman" w:cs="Times New Roman" w:ascii="Times New Roman" w:hAnsi="Times New Roman"/>
          <w:sz w:val="24"/>
          <w:szCs w:val="24"/>
          <w:lang w:eastAsia="es-ES"/>
        </w:rPr>
        <w:t>En el caso de tratarse de una medida cautelar de recuperación del bien inmueble por parte la entidad propietaria, esta resolución está igualmente acarreando un daño irreparable para los moradores de la vivienda, al constituir en sí misma una medida más gravosa que el bien que se intenta proteger ya que es una vivienda que permanecía vacía y sin ningún tipo de uso durante años.</w:t>
      </w:r>
    </w:p>
    <w:p>
      <w:pPr>
        <w:pStyle w:val="Normal"/>
        <w:spacing w:lineRule="auto" w:line="240" w:before="0" w:after="0"/>
        <w:rPr>
          <w:rFonts w:eastAsia="Times New Roman" w:cs="Times New Roman" w:ascii="Times New Roman" w:hAnsi="Times New Roman"/>
          <w:sz w:val="24"/>
          <w:szCs w:val="24"/>
          <w:lang w:eastAsia="es-ES"/>
        </w:rPr>
      </w:pPr>
      <w:r>
        <w:rPr>
          <w:rFonts w:eastAsia="Times New Roman" w:cs="Times New Roman" w:ascii="Times New Roman" w:hAnsi="Times New Roman"/>
          <w:sz w:val="24"/>
          <w:szCs w:val="24"/>
          <w:lang w:eastAsia="es-ES"/>
        </w:rPr>
      </w:r>
    </w:p>
    <w:p>
      <w:pPr>
        <w:pStyle w:val="Normal"/>
        <w:spacing w:lineRule="auto" w:line="240" w:before="0" w:after="0"/>
        <w:rPr>
          <w:rFonts w:eastAsia="Times New Roman" w:cs="Times New Roman" w:ascii="Times New Roman" w:hAnsi="Times New Roman"/>
          <w:sz w:val="24"/>
          <w:szCs w:val="24"/>
          <w:lang w:eastAsia="es-ES"/>
        </w:rPr>
      </w:pPr>
      <w:r>
        <w:rPr>
          <w:rFonts w:eastAsia="Times New Roman" w:cs="Times New Roman" w:ascii="Times New Roman" w:hAnsi="Times New Roman"/>
          <w:sz w:val="24"/>
          <w:szCs w:val="24"/>
          <w:lang w:eastAsia="es-ES"/>
        </w:rPr>
      </w:r>
    </w:p>
    <w:p>
      <w:pPr>
        <w:pStyle w:val="Normal"/>
        <w:spacing w:lineRule="auto" w:line="240" w:before="0" w:after="0"/>
        <w:jc w:val="both"/>
        <w:rPr>
          <w:rFonts w:eastAsia="Times New Roman" w:cs="Times New Roman" w:ascii="Times New Roman" w:hAnsi="Times New Roman"/>
          <w:b/>
          <w:bCs/>
          <w:sz w:val="24"/>
          <w:szCs w:val="24"/>
          <w:lang w:eastAsia="es-ES"/>
        </w:rPr>
      </w:pPr>
      <w:r>
        <w:rPr>
          <w:rFonts w:eastAsia="Times New Roman" w:cs="Times New Roman" w:ascii="Times New Roman" w:hAnsi="Times New Roman"/>
          <w:b/>
          <w:bCs/>
          <w:sz w:val="24"/>
          <w:szCs w:val="24"/>
          <w:lang w:eastAsia="es-ES"/>
        </w:rPr>
        <w:t xml:space="preserve">SEGUNDA.- DE LA VULNERACIÓN DEL PRINCIPIO DE SEGURIDAD JURÍDICA Y DEL PRINCIPIO DE LEGALIDAD. </w:t>
      </w:r>
    </w:p>
    <w:p>
      <w:pPr>
        <w:pStyle w:val="Normal"/>
        <w:spacing w:lineRule="auto" w:line="240" w:before="0" w:after="0"/>
        <w:rPr>
          <w:rFonts w:eastAsia="Times New Roman" w:cs="Times New Roman" w:ascii="Times New Roman" w:hAnsi="Times New Roman"/>
          <w:sz w:val="24"/>
          <w:szCs w:val="24"/>
          <w:lang w:eastAsia="es-ES"/>
        </w:rPr>
      </w:pPr>
      <w:r>
        <w:rPr>
          <w:rFonts w:eastAsia="Times New Roman" w:cs="Times New Roman" w:ascii="Times New Roman" w:hAnsi="Times New Roman"/>
          <w:sz w:val="24"/>
          <w:szCs w:val="24"/>
          <w:lang w:eastAsia="es-ES"/>
        </w:rPr>
      </w:r>
    </w:p>
    <w:p>
      <w:pPr>
        <w:pStyle w:val="Normal"/>
        <w:spacing w:lineRule="auto" w:line="240" w:before="0" w:after="0"/>
        <w:jc w:val="both"/>
        <w:rPr>
          <w:rFonts w:eastAsia="Times New Roman" w:cs="Times New Roman" w:ascii="Times New Roman" w:hAnsi="Times New Roman"/>
          <w:sz w:val="24"/>
          <w:szCs w:val="24"/>
          <w:lang w:eastAsia="es-ES"/>
        </w:rPr>
      </w:pPr>
      <w:r>
        <w:rPr>
          <w:rFonts w:eastAsia="Times New Roman" w:cs="Times New Roman" w:ascii="Times New Roman" w:hAnsi="Times New Roman"/>
          <w:sz w:val="24"/>
          <w:szCs w:val="24"/>
          <w:lang w:eastAsia="es-ES"/>
        </w:rPr>
        <w:t>El señalamiento de un desalojo con fecha abierta e indeterminado en el tiempo, tal y como ya ha asentado tanto la doctrina más rigurosa como la jurisprudencia más reciente, supone una importante infracción y un flagrante atentado contra el principio de seguridad jurídica previsto en nuestro Ordenamiento Jurídico, comportando la más absoluta indefensión ante una resolución que vulnera los Derechos Fundamentales de los moradores, máxime cuando hablamos de un actuación sumamente delicada pues colisiona frontalmente con el Derecho Fundamental reconocido en el artículo 18.2 de la CE, esto es, la inviolabilidad del domicilio.</w:t>
      </w:r>
    </w:p>
    <w:p>
      <w:pPr>
        <w:pStyle w:val="Normal"/>
        <w:spacing w:lineRule="auto" w:line="240" w:before="0" w:after="0"/>
        <w:jc w:val="both"/>
        <w:rPr>
          <w:rFonts w:eastAsia="Times New Roman" w:cs="Times New Roman" w:ascii="Times New Roman" w:hAnsi="Times New Roman"/>
          <w:sz w:val="24"/>
          <w:szCs w:val="24"/>
          <w:lang w:eastAsia="es-ES"/>
        </w:rPr>
      </w:pPr>
      <w:r>
        <w:rPr>
          <w:rFonts w:eastAsia="Times New Roman" w:cs="Times New Roman" w:ascii="Times New Roman" w:hAnsi="Times New Roman"/>
          <w:sz w:val="24"/>
          <w:szCs w:val="24"/>
          <w:lang w:eastAsia="es-ES"/>
        </w:rPr>
      </w:r>
    </w:p>
    <w:p>
      <w:pPr>
        <w:pStyle w:val="Normal"/>
        <w:spacing w:lineRule="auto" w:line="240" w:before="0" w:after="0"/>
        <w:jc w:val="both"/>
        <w:rPr>
          <w:rFonts w:eastAsia="Times New Roman" w:cs="Times New Roman" w:ascii="Times New Roman" w:hAnsi="Times New Roman"/>
          <w:sz w:val="24"/>
          <w:szCs w:val="24"/>
          <w:lang w:eastAsia="es-ES"/>
        </w:rPr>
      </w:pPr>
      <w:r>
        <w:rPr>
          <w:rFonts w:eastAsia="Times New Roman" w:cs="Times New Roman" w:ascii="Times New Roman" w:hAnsi="Times New Roman"/>
          <w:sz w:val="24"/>
          <w:szCs w:val="24"/>
          <w:lang w:eastAsia="es-ES"/>
        </w:rPr>
        <w:t>Parece lógico pensar que una actuación que conlleva una vulneración de esas características, tiene que estar al menos notificada a fin de conocer con exactitud la fecha de desalojo y en su caso, el abandono de la vivienda, pues de lo contrario se estaría vulnerando el Derecho Fundamental a la Tutela Judicial Efectiva, del artículo 24. CE. </w:t>
      </w:r>
    </w:p>
    <w:p>
      <w:pPr>
        <w:pStyle w:val="Normal"/>
        <w:spacing w:lineRule="auto" w:line="240" w:before="0" w:after="0"/>
        <w:jc w:val="both"/>
        <w:rPr>
          <w:rFonts w:eastAsia="Times New Roman" w:cs="Times New Roman" w:ascii="Times New Roman" w:hAnsi="Times New Roman"/>
          <w:sz w:val="24"/>
          <w:szCs w:val="24"/>
          <w:lang w:eastAsia="es-ES"/>
        </w:rPr>
      </w:pPr>
      <w:r>
        <w:rPr>
          <w:rFonts w:eastAsia="Times New Roman" w:cs="Times New Roman" w:ascii="Times New Roman" w:hAnsi="Times New Roman"/>
          <w:sz w:val="24"/>
          <w:szCs w:val="24"/>
          <w:lang w:eastAsia="es-ES"/>
        </w:rPr>
      </w:r>
    </w:p>
    <w:p>
      <w:pPr>
        <w:pStyle w:val="Normal"/>
        <w:jc w:val="both"/>
        <w:rPr>
          <w:rFonts w:eastAsia="Times New Roman" w:cs="Times New Roman" w:ascii="Times New Roman" w:hAnsi="Times New Roman"/>
          <w:i/>
          <w:sz w:val="24"/>
          <w:szCs w:val="24"/>
          <w:lang w:eastAsia="es-ES"/>
        </w:rPr>
      </w:pPr>
      <w:r>
        <w:rPr>
          <w:rFonts w:eastAsia="Times New Roman" w:cs="Times New Roman" w:ascii="Times New Roman" w:hAnsi="Times New Roman"/>
          <w:sz w:val="24"/>
          <w:szCs w:val="24"/>
          <w:lang w:eastAsia="es-ES"/>
        </w:rPr>
        <w:t xml:space="preserve">A mayor abundamiento, así lo ha entendido el propio Tribunal Constitucional que ha señalado en reiterada Jurisprudencia, </w:t>
      </w:r>
      <w:r>
        <w:rPr>
          <w:rFonts w:eastAsia="Times New Roman" w:cs="Times New Roman" w:ascii="Times New Roman" w:hAnsi="Times New Roman"/>
          <w:b/>
          <w:sz w:val="24"/>
          <w:szCs w:val="24"/>
          <w:lang w:eastAsia="es-ES"/>
        </w:rPr>
        <w:t>STC 50/1995 de 23 de febrero</w:t>
      </w:r>
      <w:r>
        <w:rPr>
          <w:rFonts w:eastAsia="Times New Roman" w:cs="Times New Roman" w:ascii="Times New Roman" w:hAnsi="Times New Roman"/>
          <w:sz w:val="24"/>
          <w:szCs w:val="24"/>
          <w:lang w:eastAsia="es-ES"/>
        </w:rPr>
        <w:t xml:space="preserve">, que una actuación que puede estar colisionando con el Derecho Fundamental a la inviolabilidad del domicilio, debe realizarse de la forma más garantista  posible y esto supone según la jurisprudencia del TEDH y el propio TC  que " </w:t>
      </w:r>
      <w:r>
        <w:rPr>
          <w:rFonts w:eastAsia="Times New Roman" w:cs="Times New Roman" w:ascii="Times New Roman" w:hAnsi="Times New Roman"/>
          <w:i/>
          <w:sz w:val="24"/>
          <w:szCs w:val="24"/>
          <w:lang w:eastAsia="es-ES"/>
        </w:rPr>
        <w:t xml:space="preserve">han de limitarse, entre otros extremos, que no hacen al caso, el  periodo de duración y tiempo de entrada así como el número de personas  que pueden acceder al domicilio, aún cuando no se identifiquen  individualmente con carácter previo”. </w:t>
      </w:r>
    </w:p>
    <w:p>
      <w:pPr>
        <w:pStyle w:val="Normal"/>
        <w:spacing w:lineRule="auto" w:line="240" w:before="0" w:after="0"/>
        <w:rPr>
          <w:rFonts w:eastAsia="Times New Roman" w:cs="Times New Roman" w:ascii="Times New Roman" w:hAnsi="Times New Roman"/>
          <w:sz w:val="24"/>
          <w:szCs w:val="24"/>
          <w:lang w:eastAsia="es-ES"/>
        </w:rPr>
      </w:pPr>
      <w:r>
        <w:rPr>
          <w:rFonts w:eastAsia="Times New Roman" w:cs="Times New Roman" w:ascii="Times New Roman" w:hAnsi="Times New Roman"/>
          <w:sz w:val="24"/>
          <w:szCs w:val="24"/>
          <w:lang w:eastAsia="es-ES"/>
        </w:rPr>
      </w:r>
    </w:p>
    <w:p>
      <w:pPr>
        <w:pStyle w:val="Normal"/>
        <w:spacing w:lineRule="auto" w:line="240" w:before="0" w:after="0"/>
        <w:rPr>
          <w:rFonts w:eastAsia="Times New Roman" w:cs="Times New Roman" w:ascii="Times New Roman" w:hAnsi="Times New Roman"/>
          <w:sz w:val="24"/>
          <w:szCs w:val="24"/>
          <w:lang w:eastAsia="es-ES"/>
        </w:rPr>
      </w:pPr>
      <w:r>
        <w:rPr>
          <w:rFonts w:eastAsia="Times New Roman" w:cs="Times New Roman" w:ascii="Times New Roman" w:hAnsi="Times New Roman"/>
          <w:sz w:val="24"/>
          <w:szCs w:val="24"/>
          <w:lang w:eastAsia="es-ES"/>
        </w:rPr>
      </w:r>
    </w:p>
    <w:p>
      <w:pPr>
        <w:pStyle w:val="Normal"/>
        <w:spacing w:lineRule="auto" w:line="240" w:before="0" w:after="0"/>
        <w:rPr>
          <w:rFonts w:eastAsia="Times New Roman" w:cs="Times New Roman" w:ascii="Times New Roman" w:hAnsi="Times New Roman"/>
          <w:b/>
          <w:bCs/>
          <w:sz w:val="24"/>
          <w:szCs w:val="24"/>
          <w:lang w:eastAsia="es-ES"/>
        </w:rPr>
      </w:pPr>
      <w:r>
        <w:rPr>
          <w:rFonts w:eastAsia="Times New Roman" w:cs="Times New Roman" w:ascii="Times New Roman" w:hAnsi="Times New Roman"/>
          <w:b/>
          <w:bCs/>
          <w:sz w:val="24"/>
          <w:szCs w:val="24"/>
          <w:lang w:eastAsia="es-ES"/>
        </w:rPr>
        <w:t>TERCERO.- DE LA VULNERACIÓN DEL DERECHO A LA IGUALDAD </w:t>
      </w:r>
    </w:p>
    <w:p>
      <w:pPr>
        <w:pStyle w:val="Normal"/>
        <w:spacing w:lineRule="auto" w:line="240" w:before="0" w:after="0"/>
        <w:rPr>
          <w:rFonts w:eastAsia="Times New Roman" w:cs="Times New Roman" w:ascii="Times New Roman" w:hAnsi="Times New Roman"/>
          <w:sz w:val="24"/>
          <w:szCs w:val="24"/>
          <w:lang w:eastAsia="es-ES"/>
        </w:rPr>
      </w:pPr>
      <w:r>
        <w:rPr>
          <w:rFonts w:eastAsia="Times New Roman" w:cs="Times New Roman" w:ascii="Times New Roman" w:hAnsi="Times New Roman"/>
          <w:sz w:val="24"/>
          <w:szCs w:val="24"/>
          <w:lang w:eastAsia="es-ES"/>
        </w:rPr>
      </w:r>
    </w:p>
    <w:p>
      <w:pPr>
        <w:pStyle w:val="Normal"/>
        <w:spacing w:lineRule="auto" w:line="240" w:before="0" w:after="0"/>
        <w:jc w:val="both"/>
        <w:rPr>
          <w:rFonts w:eastAsia="Times New Roman" w:cs="Times New Roman" w:ascii="Times New Roman" w:hAnsi="Times New Roman"/>
          <w:sz w:val="24"/>
          <w:szCs w:val="24"/>
          <w:lang w:eastAsia="es-ES"/>
        </w:rPr>
      </w:pPr>
      <w:r>
        <w:rPr>
          <w:rFonts w:eastAsia="Times New Roman" w:cs="Times New Roman" w:ascii="Times New Roman" w:hAnsi="Times New Roman"/>
          <w:sz w:val="24"/>
          <w:szCs w:val="24"/>
          <w:lang w:eastAsia="es-ES"/>
        </w:rPr>
        <w:t xml:space="preserve">Un desalojo con fecha abierta vulnera además el Derecho Fundamental del artículo 14 de la CE, esto es, Derecho a la Igualdad. </w:t>
      </w:r>
    </w:p>
    <w:p>
      <w:pPr>
        <w:pStyle w:val="Normal"/>
        <w:spacing w:lineRule="auto" w:line="240" w:before="0" w:after="0"/>
        <w:jc w:val="both"/>
        <w:rPr>
          <w:rFonts w:eastAsia="Times New Roman" w:cs="Times New Roman" w:ascii="Times New Roman" w:hAnsi="Times New Roman"/>
          <w:sz w:val="24"/>
          <w:szCs w:val="24"/>
          <w:lang w:eastAsia="es-ES"/>
        </w:rPr>
      </w:pPr>
      <w:r>
        <w:rPr>
          <w:rFonts w:eastAsia="Times New Roman" w:cs="Times New Roman" w:ascii="Times New Roman" w:hAnsi="Times New Roman"/>
          <w:sz w:val="24"/>
          <w:szCs w:val="24"/>
          <w:lang w:eastAsia="es-ES"/>
        </w:rPr>
      </w:r>
    </w:p>
    <w:p>
      <w:pPr>
        <w:pStyle w:val="Normal"/>
        <w:spacing w:lineRule="auto" w:line="240" w:before="0" w:after="0"/>
        <w:jc w:val="both"/>
        <w:rPr>
          <w:rFonts w:eastAsia="Times New Roman" w:cs="Times New Roman" w:ascii="Times New Roman" w:hAnsi="Times New Roman"/>
          <w:sz w:val="24"/>
          <w:szCs w:val="24"/>
          <w:lang w:eastAsia="es-ES"/>
        </w:rPr>
      </w:pPr>
      <w:r>
        <w:rPr>
          <w:rFonts w:eastAsia="Times New Roman" w:cs="Times New Roman" w:ascii="Times New Roman" w:hAnsi="Times New Roman"/>
          <w:sz w:val="24"/>
          <w:szCs w:val="24"/>
          <w:lang w:eastAsia="es-ES"/>
        </w:rPr>
        <w:t>El Tribunal Constitucional ha definido el principio de igualdad como la prohibición de toda diferencia de trato que carezca de una justificación objetiva y razonable; ha afirmado el carácter vinculante de este principio tanto para el legislador (igualdad en la ley), como para los órganos aplicadores del Derecho (igualdad en la aplicación de la ley) y los particulares (igualdad horizontal).</w:t>
      </w:r>
    </w:p>
    <w:p>
      <w:pPr>
        <w:pStyle w:val="Normal"/>
        <w:spacing w:lineRule="auto" w:line="240" w:before="0" w:after="0"/>
        <w:jc w:val="both"/>
        <w:rPr>
          <w:rFonts w:eastAsia="Times New Roman" w:cs="Times New Roman" w:ascii="Times New Roman" w:hAnsi="Times New Roman"/>
          <w:sz w:val="24"/>
          <w:szCs w:val="24"/>
          <w:lang w:eastAsia="es-ES"/>
        </w:rPr>
      </w:pPr>
      <w:r>
        <w:rPr>
          <w:rFonts w:eastAsia="Times New Roman" w:cs="Times New Roman" w:ascii="Times New Roman" w:hAnsi="Times New Roman"/>
          <w:sz w:val="24"/>
          <w:szCs w:val="24"/>
          <w:lang w:eastAsia="es-ES"/>
        </w:rPr>
        <w:t> </w:t>
      </w:r>
    </w:p>
    <w:p>
      <w:pPr>
        <w:pStyle w:val="Normal"/>
        <w:spacing w:lineRule="auto" w:line="240" w:before="0" w:after="0"/>
        <w:jc w:val="both"/>
        <w:rPr>
          <w:rFonts w:eastAsia="Times New Roman" w:cs="Times New Roman" w:ascii="Times New Roman" w:hAnsi="Times New Roman"/>
          <w:sz w:val="24"/>
          <w:szCs w:val="24"/>
          <w:lang w:eastAsia="es-ES"/>
        </w:rPr>
      </w:pPr>
      <w:r>
        <w:rPr>
          <w:rFonts w:eastAsia="Times New Roman" w:cs="Times New Roman" w:ascii="Times New Roman" w:hAnsi="Times New Roman"/>
          <w:sz w:val="24"/>
          <w:szCs w:val="24"/>
          <w:lang w:eastAsia="es-ES"/>
        </w:rPr>
        <w:t>Los criterios o elementos establecidos por el Tribunal Constitucional permiten distinguir entre una diferencia de trato justificada y otra discriminatoria y, por tanto, constitucionalmente inadmisible (desigualdad de los supuestos de hecho; finalidad constitucionalmente legítima; congruencia entre el trato desigual, el supuesto de hecho que lo justifica y la finalidad que se persigue; y proporcionalidad entre los elementos anteriores); de tal modo que todo trato desigual debe ser sometido a un escrutinio especialmente riguroso, necesitando un plus de fundamentación de su objetividad y razonabilidad para pasar el test de constitucionalidad.</w:t>
      </w:r>
    </w:p>
    <w:p>
      <w:pPr>
        <w:pStyle w:val="Normal"/>
        <w:spacing w:lineRule="auto" w:line="240" w:before="0" w:after="0"/>
        <w:jc w:val="both"/>
        <w:rPr>
          <w:rFonts w:eastAsia="Times New Roman" w:cs="Times New Roman" w:ascii="Times New Roman" w:hAnsi="Times New Roman"/>
          <w:sz w:val="24"/>
          <w:szCs w:val="24"/>
          <w:lang w:eastAsia="es-ES"/>
        </w:rPr>
      </w:pPr>
      <w:r>
        <w:rPr>
          <w:rFonts w:eastAsia="Times New Roman" w:cs="Times New Roman" w:ascii="Times New Roman" w:hAnsi="Times New Roman"/>
          <w:sz w:val="24"/>
          <w:szCs w:val="24"/>
          <w:lang w:eastAsia="es-ES"/>
        </w:rPr>
        <w:t> </w:t>
      </w:r>
    </w:p>
    <w:p>
      <w:pPr>
        <w:pStyle w:val="Normal"/>
        <w:spacing w:lineRule="auto" w:line="240" w:before="0" w:after="0"/>
        <w:jc w:val="both"/>
        <w:rPr>
          <w:rFonts w:eastAsia="Times New Roman" w:cs="Times New Roman" w:ascii="Times New Roman" w:hAnsi="Times New Roman"/>
          <w:sz w:val="24"/>
          <w:szCs w:val="24"/>
          <w:lang w:eastAsia="es-ES"/>
        </w:rPr>
      </w:pPr>
      <w:r>
        <w:rPr>
          <w:rFonts w:eastAsia="Times New Roman" w:cs="Times New Roman" w:ascii="Times New Roman" w:hAnsi="Times New Roman"/>
          <w:sz w:val="24"/>
          <w:szCs w:val="24"/>
          <w:lang w:eastAsia="es-ES"/>
        </w:rPr>
        <w:t>En este sentido, sentencia del Tribunal Constitucional 199/2004, de 5 de noviembre:</w:t>
      </w:r>
    </w:p>
    <w:p>
      <w:pPr>
        <w:pStyle w:val="Normal"/>
        <w:spacing w:lineRule="auto" w:line="240" w:before="0" w:after="0"/>
        <w:jc w:val="both"/>
        <w:rPr>
          <w:rFonts w:eastAsia="Times New Roman" w:cs="Times New Roman" w:ascii="Times New Roman" w:hAnsi="Times New Roman"/>
          <w:sz w:val="24"/>
          <w:szCs w:val="24"/>
          <w:lang w:eastAsia="es-ES"/>
        </w:rPr>
      </w:pPr>
      <w:r>
        <w:rPr>
          <w:rFonts w:eastAsia="Times New Roman" w:cs="Times New Roman" w:ascii="Times New Roman" w:hAnsi="Times New Roman"/>
          <w:sz w:val="24"/>
          <w:szCs w:val="24"/>
          <w:lang w:eastAsia="es-ES"/>
        </w:rPr>
        <w:t> </w:t>
      </w:r>
    </w:p>
    <w:p>
      <w:pPr>
        <w:pStyle w:val="Normal"/>
        <w:spacing w:lineRule="auto" w:line="240" w:before="0" w:after="0"/>
        <w:jc w:val="both"/>
        <w:rPr>
          <w:rFonts w:eastAsia="Times New Roman" w:cs="Times New Roman" w:ascii="Times New Roman" w:hAnsi="Times New Roman"/>
          <w:i/>
          <w:iCs/>
          <w:sz w:val="24"/>
          <w:szCs w:val="24"/>
          <w:lang w:eastAsia="es-ES"/>
        </w:rPr>
      </w:pPr>
      <w:r>
        <w:rPr>
          <w:rFonts w:eastAsia="Times New Roman" w:cs="Times New Roman" w:ascii="Times New Roman" w:hAnsi="Times New Roman"/>
          <w:i/>
          <w:iCs/>
          <w:sz w:val="24"/>
          <w:szCs w:val="24"/>
          <w:lang w:eastAsia="es-ES"/>
        </w:rPr>
        <w:t>“</w:t>
      </w:r>
      <w:r>
        <w:rPr>
          <w:rFonts w:eastAsia="Times New Roman" w:cs="Times New Roman" w:ascii="Times New Roman" w:hAnsi="Times New Roman"/>
          <w:i/>
          <w:iCs/>
          <w:sz w:val="24"/>
          <w:szCs w:val="24"/>
          <w:lang w:eastAsia="es-ES"/>
        </w:rPr>
        <w:t>6.- En la medida en que el principio de igualdad en la Ley consiste en que, ante supuestos de hecho iguales, las consecuencias jurídicas que se extraigan deban ser, asimismo, iguales, el primer aspecto que ha de verificarse es si las situaciones que se comparan en la demanda de amparo reflejan un término adecuado y suficiente de comparación ya que, como hemos señalado en múltiples ocasiones, el juicio de igualdad es relacional y requiere como presupuesto «que las situaciones subjetivas que quieran traerse a la comparación sean, efectivamente, homogéneas o equiparables, es decir, que el término de comparación no resulte arbitrario o caprichoso ( SSTC 148/1986, de 25 de noviembre , F. 6; 29/1987, de 6 de marzo , F. 5; 1/2001, de 15 de enero , F. 3)» ( STC 200/2001, de 4 de octubre , F. 5). Debiéndose tener en cuenta que han de considerarse iguales dos supuestos de hecho cuando la introducción en uno de ellos de un elemento o factor que permita diferenciarlo del otro haya de considerarse falto de un fundamento racional y sea, en consecuencia, arbitrario, por no resultar necesario tal factor diferencial para la consecución del fin perseguido por el legislador (en este sentido, STC 200/2001, de 4 de octubre, F. 5). Sobre estas bases debemos verificar si la interpretación realizada y el factor diferencial que en el presente caso se ha manejado (inscripción o no en el Registro Civil) resulta conforme con el art. 14 CE.”</w:t>
      </w:r>
    </w:p>
    <w:p>
      <w:pPr>
        <w:pStyle w:val="Normal"/>
        <w:spacing w:lineRule="auto" w:line="240" w:before="0" w:after="0"/>
        <w:jc w:val="both"/>
        <w:rPr>
          <w:rFonts w:eastAsia="Times New Roman" w:cs="Times New Roman" w:ascii="Times New Roman" w:hAnsi="Times New Roman"/>
          <w:sz w:val="24"/>
          <w:szCs w:val="24"/>
          <w:lang w:eastAsia="es-ES"/>
        </w:rPr>
      </w:pPr>
      <w:r>
        <w:rPr>
          <w:rFonts w:eastAsia="Times New Roman" w:cs="Times New Roman" w:ascii="Times New Roman" w:hAnsi="Times New Roman"/>
          <w:sz w:val="24"/>
          <w:szCs w:val="24"/>
          <w:lang w:eastAsia="es-ES"/>
        </w:rPr>
        <w:t> </w:t>
      </w:r>
    </w:p>
    <w:p>
      <w:pPr>
        <w:pStyle w:val="Normal"/>
        <w:spacing w:lineRule="auto" w:line="240" w:before="0" w:after="0"/>
        <w:jc w:val="both"/>
        <w:rPr>
          <w:rFonts w:eastAsia="Times New Roman" w:cs="Times New Roman" w:ascii="Times New Roman" w:hAnsi="Times New Roman"/>
          <w:sz w:val="24"/>
          <w:szCs w:val="24"/>
          <w:lang w:eastAsia="es-ES"/>
        </w:rPr>
      </w:pPr>
      <w:r>
        <w:rPr>
          <w:rFonts w:eastAsia="Times New Roman" w:cs="Times New Roman" w:ascii="Times New Roman" w:hAnsi="Times New Roman"/>
          <w:sz w:val="24"/>
          <w:szCs w:val="24"/>
          <w:lang w:eastAsia="es-ES"/>
        </w:rPr>
        <w:t> </w:t>
      </w:r>
    </w:p>
    <w:p>
      <w:pPr>
        <w:pStyle w:val="Normal"/>
        <w:spacing w:lineRule="auto" w:line="240" w:before="0" w:after="0"/>
        <w:jc w:val="both"/>
        <w:rPr>
          <w:rFonts w:eastAsia="Times New Roman" w:cs="Times New Roman" w:ascii="Times New Roman" w:hAnsi="Times New Roman"/>
          <w:sz w:val="24"/>
          <w:szCs w:val="24"/>
          <w:lang w:eastAsia="es-ES"/>
        </w:rPr>
      </w:pPr>
      <w:r>
        <w:rPr>
          <w:rFonts w:eastAsia="Times New Roman" w:cs="Times New Roman" w:ascii="Times New Roman" w:hAnsi="Times New Roman"/>
          <w:sz w:val="24"/>
          <w:szCs w:val="24"/>
          <w:lang w:eastAsia="es-ES"/>
        </w:rPr>
        <w:t>En el presente caso, la ausencia de  señalamiento de fecha y hora para ejecutar el desalojo comportaría un trato discriminatorio para con el resto de personas que se encuentren en procesos similares, pues la práctica mayoritaria de los Juzgados es la de señalar, al menos fecha y hora, lo que de no hacerse implicaría una vulneración del artículo 14 de la Constitución.</w:t>
      </w:r>
    </w:p>
    <w:p>
      <w:pPr>
        <w:pStyle w:val="Normal"/>
        <w:spacing w:lineRule="auto" w:line="240" w:before="0" w:after="0"/>
        <w:rPr>
          <w:rFonts w:eastAsia="Times New Roman" w:cs="Times New Roman" w:ascii="Times New Roman" w:hAnsi="Times New Roman"/>
          <w:b/>
          <w:bCs/>
          <w:sz w:val="24"/>
          <w:szCs w:val="24"/>
          <w:lang w:eastAsia="es-ES"/>
        </w:rPr>
      </w:pPr>
      <w:r>
        <w:rPr>
          <w:rFonts w:eastAsia="Times New Roman" w:cs="Times New Roman" w:ascii="Times New Roman" w:hAnsi="Times New Roman"/>
          <w:b/>
          <w:bCs/>
          <w:sz w:val="24"/>
          <w:szCs w:val="24"/>
          <w:lang w:eastAsia="es-ES"/>
        </w:rPr>
        <w:t> </w:t>
      </w:r>
    </w:p>
    <w:p>
      <w:pPr>
        <w:pStyle w:val="Normal"/>
        <w:spacing w:lineRule="auto" w:line="240" w:before="0" w:after="0"/>
        <w:rPr>
          <w:rFonts w:eastAsia="Times New Roman" w:cs="Times New Roman" w:ascii="Times New Roman" w:hAnsi="Times New Roman"/>
          <w:b/>
          <w:bCs/>
          <w:sz w:val="24"/>
          <w:szCs w:val="24"/>
          <w:lang w:eastAsia="es-ES"/>
        </w:rPr>
      </w:pPr>
      <w:r>
        <w:rPr>
          <w:rFonts w:eastAsia="Times New Roman" w:cs="Times New Roman" w:ascii="Times New Roman" w:hAnsi="Times New Roman"/>
          <w:b/>
          <w:bCs/>
          <w:sz w:val="24"/>
          <w:szCs w:val="24"/>
          <w:lang w:eastAsia="es-ES"/>
        </w:rPr>
        <w:t> </w:t>
      </w:r>
    </w:p>
    <w:p>
      <w:pPr>
        <w:pStyle w:val="Normal"/>
        <w:spacing w:lineRule="auto" w:line="240" w:before="0" w:after="0"/>
        <w:jc w:val="both"/>
        <w:rPr>
          <w:rFonts w:eastAsia="Times New Roman" w:cs="Times New Roman" w:ascii="Times New Roman" w:hAnsi="Times New Roman"/>
          <w:b/>
          <w:bCs/>
          <w:sz w:val="24"/>
          <w:szCs w:val="24"/>
          <w:lang w:eastAsia="es-ES"/>
        </w:rPr>
      </w:pPr>
      <w:r>
        <w:rPr>
          <w:rFonts w:eastAsia="Times New Roman" w:cs="Times New Roman" w:ascii="Times New Roman" w:hAnsi="Times New Roman"/>
          <w:b/>
          <w:bCs/>
          <w:sz w:val="24"/>
          <w:szCs w:val="24"/>
          <w:lang w:eastAsia="es-ES"/>
        </w:rPr>
        <w:t xml:space="preserve">CUARTO.- DE LA VULNERACIÓN DE OTROS DERECHOS FUNDAMENTALES </w:t>
      </w:r>
    </w:p>
    <w:p>
      <w:pPr>
        <w:pStyle w:val="Normal"/>
        <w:spacing w:lineRule="auto" w:line="240" w:before="0" w:after="0"/>
        <w:jc w:val="both"/>
        <w:rPr>
          <w:rFonts w:eastAsia="Times New Roman" w:cs="Times New Roman" w:ascii="Times New Roman" w:hAnsi="Times New Roman"/>
          <w:sz w:val="24"/>
          <w:szCs w:val="24"/>
          <w:lang w:eastAsia="es-ES"/>
        </w:rPr>
      </w:pPr>
      <w:r>
        <w:rPr>
          <w:rFonts w:eastAsia="Times New Roman" w:cs="Times New Roman" w:ascii="Times New Roman" w:hAnsi="Times New Roman"/>
          <w:sz w:val="24"/>
          <w:szCs w:val="24"/>
          <w:lang w:eastAsia="es-ES"/>
        </w:rPr>
      </w:r>
    </w:p>
    <w:p>
      <w:pPr>
        <w:pStyle w:val="Normal"/>
        <w:spacing w:lineRule="auto" w:line="240" w:before="0" w:after="0"/>
        <w:jc w:val="both"/>
        <w:rPr>
          <w:rFonts w:eastAsia="Times New Roman" w:cs="Times New Roman" w:ascii="Times New Roman" w:hAnsi="Times New Roman"/>
          <w:i/>
          <w:iCs/>
          <w:sz w:val="24"/>
          <w:szCs w:val="24"/>
          <w:lang w:eastAsia="es-ES"/>
        </w:rPr>
      </w:pPr>
      <w:r>
        <w:rPr>
          <w:rFonts w:eastAsia="Times New Roman" w:cs="Times New Roman" w:ascii="Times New Roman" w:hAnsi="Times New Roman"/>
          <w:sz w:val="24"/>
          <w:szCs w:val="24"/>
          <w:lang w:eastAsia="es-ES"/>
        </w:rPr>
        <w:t>El Estado Español reconoce expresamente el derecho a una vivienda digna y adecuada en el artículo 47 de su Constitución (CE). Asimismo, ha ratificado varios tratados de Derechos Humanos que consagran el derecho a una vivienda adecuada y otros derechos que guardan una estrecha conexión con éste y con la prohibición de desalojos arbitrarios, como la integridad física, la intimidad, la inviolabilidad de domicilio o la vida privada y familiar. Dichos tratados forman parte del ordenamiento interno (artículos 96.1 y 10.2 CE) y son, junto a la Declaración Universal de Derechos Humanos, un criterio decisivo para la interpretación de las normas relativas a los derechos fundamentales y a las libertades reconocidas en la Constitución (art. 10.2 CE).</w:t>
      </w:r>
      <w:r>
        <w:rPr>
          <w:rFonts w:eastAsia="Times New Roman" w:cs="Times New Roman" w:ascii="Times New Roman" w:hAnsi="Times New Roman"/>
          <w:i/>
          <w:iCs/>
          <w:sz w:val="24"/>
          <w:szCs w:val="24"/>
          <w:lang w:eastAsia="es-ES"/>
        </w:rPr>
        <w:t> </w:t>
      </w:r>
    </w:p>
    <w:p>
      <w:pPr>
        <w:pStyle w:val="Normal"/>
        <w:spacing w:lineRule="auto" w:line="240" w:before="0" w:after="0"/>
        <w:rPr>
          <w:rFonts w:eastAsia="Times New Roman" w:cs="Times New Roman" w:ascii="Times New Roman" w:hAnsi="Times New Roman"/>
          <w:sz w:val="24"/>
          <w:szCs w:val="24"/>
          <w:lang w:eastAsia="es-ES"/>
        </w:rPr>
      </w:pPr>
      <w:r>
        <w:rPr>
          <w:rFonts w:eastAsia="Times New Roman" w:cs="Times New Roman" w:ascii="Times New Roman" w:hAnsi="Times New Roman"/>
          <w:sz w:val="24"/>
          <w:szCs w:val="24"/>
          <w:lang w:eastAsia="es-ES"/>
        </w:rPr>
      </w:r>
    </w:p>
    <w:p>
      <w:pPr>
        <w:pStyle w:val="Normal"/>
        <w:spacing w:lineRule="auto" w:line="240" w:before="0" w:after="0"/>
        <w:rPr>
          <w:rFonts w:eastAsia="Times New Roman" w:cs="Times New Roman" w:ascii="Times New Roman" w:hAnsi="Times New Roman"/>
          <w:sz w:val="24"/>
          <w:szCs w:val="24"/>
          <w:lang w:eastAsia="es-ES"/>
        </w:rPr>
      </w:pPr>
      <w:r>
        <w:rPr>
          <w:rFonts w:eastAsia="Times New Roman" w:cs="Times New Roman" w:ascii="Times New Roman" w:hAnsi="Times New Roman"/>
          <w:sz w:val="24"/>
          <w:szCs w:val="24"/>
          <w:lang w:eastAsia="es-ES"/>
        </w:rPr>
      </w:r>
    </w:p>
    <w:p>
      <w:pPr>
        <w:pStyle w:val="Normal"/>
        <w:spacing w:lineRule="auto" w:line="240" w:before="0" w:after="0"/>
        <w:jc w:val="both"/>
        <w:rPr>
          <w:rFonts w:eastAsia="Times New Roman" w:cs="Times New Roman" w:ascii="Times New Roman" w:hAnsi="Times New Roman"/>
          <w:sz w:val="24"/>
          <w:szCs w:val="24"/>
          <w:lang w:eastAsia="es-ES"/>
        </w:rPr>
      </w:pPr>
      <w:r>
        <w:rPr>
          <w:rFonts w:eastAsia="Times New Roman" w:cs="Times New Roman" w:ascii="Times New Roman" w:hAnsi="Times New Roman"/>
          <w:sz w:val="24"/>
          <w:szCs w:val="24"/>
          <w:lang w:eastAsia="es-ES"/>
        </w:rPr>
        <w:t xml:space="preserve">Por otro lado, una lectura sistemática de la Constitución obliga a interpretar el derecho a la vivienda y a la prohibición de desalojos arbitrarios de la forma más garantista posible. Esto supone hacerlo, por un lado, en conexión con otros derechos y principios constitucionales que permitan delimitar su contenido, como el principio del Estado social y democrático de derecho </w:t>
      </w:r>
      <w:r>
        <w:rPr>
          <w:rFonts w:eastAsia="Times New Roman" w:cs="Times New Roman" w:ascii="Times New Roman" w:hAnsi="Times New Roman"/>
          <w:b/>
          <w:bCs/>
          <w:sz w:val="24"/>
          <w:szCs w:val="24"/>
          <w:lang w:eastAsia="es-ES"/>
        </w:rPr>
        <w:t>(art. 1.1 CE),</w:t>
      </w:r>
      <w:r>
        <w:rPr>
          <w:rFonts w:eastAsia="Times New Roman" w:cs="Times New Roman" w:ascii="Times New Roman" w:hAnsi="Times New Roman"/>
          <w:sz w:val="24"/>
          <w:szCs w:val="24"/>
          <w:lang w:eastAsia="es-ES"/>
        </w:rPr>
        <w:t xml:space="preserve"> el de la dignidad de la persona y el derecho a su libre desarrollo </w:t>
      </w:r>
      <w:r>
        <w:rPr>
          <w:rFonts w:eastAsia="Times New Roman" w:cs="Times New Roman" w:ascii="Times New Roman" w:hAnsi="Times New Roman"/>
          <w:b/>
          <w:bCs/>
          <w:sz w:val="24"/>
          <w:szCs w:val="24"/>
          <w:lang w:eastAsia="es-ES"/>
        </w:rPr>
        <w:t>(art. 10.1 CE),</w:t>
      </w:r>
      <w:r>
        <w:rPr>
          <w:rFonts w:eastAsia="Times New Roman" w:cs="Times New Roman" w:ascii="Times New Roman" w:hAnsi="Times New Roman"/>
          <w:sz w:val="24"/>
          <w:szCs w:val="24"/>
          <w:lang w:eastAsia="es-ES"/>
        </w:rPr>
        <w:t xml:space="preserve"> la integridad física </w:t>
      </w:r>
      <w:r>
        <w:rPr>
          <w:rFonts w:eastAsia="Times New Roman" w:cs="Times New Roman" w:ascii="Times New Roman" w:hAnsi="Times New Roman"/>
          <w:b/>
          <w:bCs/>
          <w:sz w:val="24"/>
          <w:szCs w:val="24"/>
          <w:lang w:eastAsia="es-ES"/>
        </w:rPr>
        <w:t>(artículo 15)</w:t>
      </w:r>
      <w:r>
        <w:rPr>
          <w:rFonts w:eastAsia="Times New Roman" w:cs="Times New Roman" w:ascii="Times New Roman" w:hAnsi="Times New Roman"/>
          <w:sz w:val="24"/>
          <w:szCs w:val="24"/>
          <w:lang w:eastAsia="es-ES"/>
        </w:rPr>
        <w:t xml:space="preserve"> o la intimidad personal y familiar y la inviolabilidad de domicilio </w:t>
      </w:r>
      <w:r>
        <w:rPr>
          <w:rFonts w:eastAsia="Times New Roman" w:cs="Times New Roman" w:ascii="Times New Roman" w:hAnsi="Times New Roman"/>
          <w:b/>
          <w:bCs/>
          <w:sz w:val="24"/>
          <w:szCs w:val="24"/>
          <w:lang w:eastAsia="es-ES"/>
        </w:rPr>
        <w:t>(art. 18 CE).</w:t>
      </w:r>
      <w:r>
        <w:rPr>
          <w:rFonts w:eastAsia="Times New Roman" w:cs="Times New Roman" w:ascii="Times New Roman" w:hAnsi="Times New Roman"/>
          <w:sz w:val="24"/>
          <w:szCs w:val="24"/>
          <w:lang w:eastAsia="es-ES"/>
        </w:rPr>
        <w:t xml:space="preserve"> Y por otro, con lo establecido por los tratados internacionales sobre derechos humanos. Algunos de estos tratados, como el Pacto Internacional de Derechos Económicos, Sociales y Culturales (PIDESC), reconocen el derecho a una vivienda adecuada de manera explícita </w:t>
      </w:r>
      <w:r>
        <w:rPr>
          <w:rFonts w:eastAsia="Times New Roman" w:cs="Times New Roman" w:ascii="Times New Roman" w:hAnsi="Times New Roman"/>
          <w:b/>
          <w:bCs/>
          <w:sz w:val="24"/>
          <w:szCs w:val="24"/>
          <w:lang w:eastAsia="es-ES"/>
        </w:rPr>
        <w:t>(artículo 11.1).</w:t>
      </w:r>
      <w:r>
        <w:rPr>
          <w:rFonts w:eastAsia="Times New Roman" w:cs="Times New Roman" w:ascii="Times New Roman" w:hAnsi="Times New Roman"/>
          <w:sz w:val="24"/>
          <w:szCs w:val="24"/>
          <w:lang w:eastAsia="es-ES"/>
        </w:rPr>
        <w:t xml:space="preserve"> Otros, como el Convenio Europeo de Derechos Humanos (CEDH), no lo hacen de manera directa, pero reconocen otros derechos que guardan una estrecha conexión con éste, como el derecho a no padecer tratos inhumanos y </w:t>
      </w:r>
      <w:bookmarkStart w:id="0" w:name="_GoBack"/>
      <w:r>
        <w:rPr>
          <w:rFonts w:eastAsia="Times New Roman" w:cs="Times New Roman" w:ascii="Times New Roman" w:hAnsi="Times New Roman"/>
          <w:sz w:val="24"/>
          <w:szCs w:val="24"/>
          <w:lang w:eastAsia="es-ES"/>
        </w:rPr>
        <w:t xml:space="preserve">degradantes </w:t>
      </w:r>
      <w:r>
        <w:rPr>
          <w:rFonts w:eastAsia="Times New Roman" w:cs="Times New Roman" w:ascii="Times New Roman" w:hAnsi="Times New Roman"/>
          <w:b/>
          <w:bCs/>
          <w:sz w:val="24"/>
          <w:szCs w:val="24"/>
          <w:lang w:eastAsia="es-ES"/>
        </w:rPr>
        <w:t>(artículo 3)</w:t>
      </w:r>
      <w:r>
        <w:rPr>
          <w:rFonts w:eastAsia="Times New Roman" w:cs="Times New Roman" w:ascii="Times New Roman" w:hAnsi="Times New Roman"/>
          <w:sz w:val="24"/>
          <w:szCs w:val="24"/>
          <w:lang w:eastAsia="es-ES"/>
        </w:rPr>
        <w:t xml:space="preserve"> o al respeto de la vida privada y familiar y del domicilio </w:t>
      </w:r>
      <w:r>
        <w:rPr>
          <w:rFonts w:eastAsia="Times New Roman" w:cs="Times New Roman" w:ascii="Times New Roman" w:hAnsi="Times New Roman"/>
          <w:b/>
          <w:bCs/>
          <w:sz w:val="24"/>
          <w:szCs w:val="24"/>
          <w:lang w:eastAsia="es-ES"/>
        </w:rPr>
        <w:t>(artículo 8).</w:t>
      </w:r>
      <w:r>
        <w:rPr>
          <w:rFonts w:eastAsia="Times New Roman" w:cs="Times New Roman" w:ascii="Times New Roman" w:hAnsi="Times New Roman"/>
          <w:sz w:val="24"/>
          <w:szCs w:val="24"/>
          <w:lang w:eastAsia="es-ES"/>
        </w:rPr>
        <w:t> </w:t>
      </w:r>
    </w:p>
    <w:p>
      <w:pPr>
        <w:pStyle w:val="Normal"/>
        <w:spacing w:lineRule="auto" w:line="240" w:before="0" w:after="0"/>
        <w:jc w:val="both"/>
        <w:rPr>
          <w:rFonts w:eastAsia="Times New Roman" w:cs="Times New Roman" w:ascii="Times New Roman" w:hAnsi="Times New Roman"/>
          <w:sz w:val="24"/>
          <w:szCs w:val="24"/>
          <w:lang w:eastAsia="es-ES"/>
        </w:rPr>
      </w:pPr>
      <w:r>
        <w:rPr>
          <w:rFonts w:eastAsia="Times New Roman" w:cs="Times New Roman" w:ascii="Times New Roman" w:hAnsi="Times New Roman"/>
          <w:sz w:val="24"/>
          <w:szCs w:val="24"/>
          <w:lang w:eastAsia="es-ES"/>
        </w:rPr>
        <w:t xml:space="preserve">Del mismo modo, el Tribunal Constitucional también ha sostenido que la obligación de interpretar los derechos reconocidos en el Título I de la CE de conformidad con los tratados y acuerdos internacionales ratificados por España no puede prescindir de la que, a </w:t>
      </w:r>
      <w:r>
        <w:rPr>
          <w:rFonts w:eastAsia="Times New Roman" w:cs="Times New Roman" w:ascii="Times New Roman" w:hAnsi="Times New Roman"/>
          <w:bCs/>
          <w:sz w:val="24"/>
          <w:szCs w:val="24"/>
          <w:lang w:eastAsia="es-ES"/>
        </w:rPr>
        <w:t>su vez, llevan a cabo los órganos de garantía establecidos por esos tratados y acuerdos internacionale</w:t>
      </w:r>
      <w:r>
        <w:rPr>
          <w:rFonts w:eastAsia="Times New Roman" w:cs="Times New Roman" w:ascii="Times New Roman" w:hAnsi="Times New Roman"/>
          <w:sz w:val="24"/>
          <w:szCs w:val="24"/>
          <w:lang w:eastAsia="es-ES"/>
        </w:rPr>
        <w:t>s (STC 61/2013 del 14 de marzo, FJ 5).</w:t>
      </w:r>
    </w:p>
    <w:p>
      <w:pPr>
        <w:pStyle w:val="Normal"/>
        <w:spacing w:lineRule="auto" w:line="240" w:before="0" w:after="0"/>
        <w:jc w:val="both"/>
        <w:rPr>
          <w:rFonts w:eastAsia="Times New Roman" w:cs="Times New Roman" w:ascii="Times New Roman" w:hAnsi="Times New Roman"/>
          <w:sz w:val="24"/>
          <w:szCs w:val="24"/>
          <w:lang w:eastAsia="es-ES"/>
        </w:rPr>
      </w:pPr>
      <w:r>
        <w:rPr>
          <w:rFonts w:eastAsia="Times New Roman" w:cs="Times New Roman" w:ascii="Times New Roman" w:hAnsi="Times New Roman"/>
          <w:sz w:val="24"/>
          <w:szCs w:val="24"/>
          <w:lang w:eastAsia="es-ES"/>
        </w:rPr>
      </w:r>
    </w:p>
    <w:p>
      <w:pPr>
        <w:pStyle w:val="Normal"/>
        <w:spacing w:lineRule="auto" w:line="240" w:before="0" w:after="0"/>
        <w:jc w:val="both"/>
        <w:rPr>
          <w:rFonts w:eastAsia="Times New Roman" w:cs="Times New Roman" w:ascii="Times New Roman" w:hAnsi="Times New Roman"/>
          <w:i/>
          <w:iCs/>
          <w:sz w:val="24"/>
          <w:szCs w:val="24"/>
          <w:lang w:eastAsia="es-ES"/>
        </w:rPr>
      </w:pPr>
      <w:r>
        <w:rPr>
          <w:rFonts w:eastAsia="Times New Roman" w:cs="Times New Roman" w:ascii="Times New Roman" w:hAnsi="Times New Roman"/>
          <w:sz w:val="24"/>
          <w:szCs w:val="24"/>
          <w:lang w:eastAsia="es-ES"/>
        </w:rPr>
        <w:t xml:space="preserve">Igualmente, el </w:t>
      </w:r>
      <w:r>
        <w:rPr>
          <w:rFonts w:eastAsia="Times New Roman" w:cs="Times New Roman" w:ascii="Times New Roman" w:hAnsi="Times New Roman"/>
          <w:b/>
          <w:bCs/>
          <w:sz w:val="24"/>
          <w:szCs w:val="24"/>
          <w:lang w:eastAsia="es-ES"/>
        </w:rPr>
        <w:t>Comité de Derechos Económicos, Sociales y Culturales</w:t>
      </w:r>
      <w:r>
        <w:rPr>
          <w:rFonts w:eastAsia="Times New Roman" w:cs="Times New Roman" w:ascii="Times New Roman" w:hAnsi="Times New Roman"/>
          <w:sz w:val="24"/>
          <w:szCs w:val="24"/>
          <w:lang w:eastAsia="es-ES"/>
        </w:rPr>
        <w:t xml:space="preserve"> (Comité DESC) de Naciones Unidas, órgano de interpretación y garantía del PIDESC, ha entendido que la prohibición de desalojos arbitrarios forma parte del derecho de toda persona a un nivel de vida adecuado para sí y su familia, incluso alimentación, vestido y vivienda adecuados, y a una mejora continua de las condiciones de su existencia (art.11.1). En la Observación General Nº 7 al artículo 11.1 del PIDESC, el Comité DESC establece que</w:t>
      </w:r>
      <w:r>
        <w:rPr>
          <w:rFonts w:eastAsia="Times New Roman" w:cs="Times New Roman" w:ascii="Times New Roman" w:hAnsi="Times New Roman"/>
          <w:i/>
          <w:iCs/>
          <w:sz w:val="24"/>
          <w:szCs w:val="24"/>
          <w:lang w:eastAsia="es-ES"/>
        </w:rPr>
        <w:t xml:space="preserve"> </w:t>
      </w:r>
      <w:r>
        <w:rPr>
          <w:rFonts w:eastAsia="Times New Roman" w:cs="Times New Roman" w:ascii="Times New Roman" w:hAnsi="Times New Roman"/>
          <w:sz w:val="24"/>
          <w:szCs w:val="24"/>
          <w:lang w:eastAsia="es-ES"/>
        </w:rPr>
        <w:t xml:space="preserve">“los desalojos no deberían dar lugar a que haya personas que se queden sin vivienda o expuestas a violaciones de otros derechos humanos. Y que </w:t>
      </w:r>
      <w:r>
        <w:rPr>
          <w:rFonts w:eastAsia="Times New Roman" w:cs="Times New Roman" w:ascii="Times New Roman" w:hAnsi="Times New Roman"/>
          <w:b/>
          <w:bCs/>
          <w:sz w:val="24"/>
          <w:szCs w:val="24"/>
          <w:lang w:eastAsia="es-ES"/>
        </w:rPr>
        <w:t>cuando los afectados por el desalojo no dispongan de recursos, el Estado Parte deberá adoptar todas las medidas necesarias, en la mayor medida que permitan sus recursos, para que se proporcione otra vivienda,</w:t>
      </w:r>
      <w:r>
        <w:rPr>
          <w:rFonts w:eastAsia="Times New Roman" w:cs="Times New Roman" w:ascii="Times New Roman" w:hAnsi="Times New Roman"/>
          <w:sz w:val="24"/>
          <w:szCs w:val="24"/>
          <w:lang w:eastAsia="es-ES"/>
        </w:rPr>
        <w:t xml:space="preserve"> reasentamiento o acceso a tierras productivas, según proceda” </w:t>
      </w:r>
      <w:r>
        <w:rPr>
          <w:rFonts w:eastAsia="Times New Roman" w:cs="Times New Roman" w:ascii="Times New Roman" w:hAnsi="Times New Roman"/>
          <w:i/>
          <w:iCs/>
          <w:sz w:val="24"/>
          <w:szCs w:val="24"/>
          <w:lang w:eastAsia="es-ES"/>
        </w:rPr>
        <w:t> </w:t>
      </w:r>
    </w:p>
    <w:p>
      <w:pPr>
        <w:pStyle w:val="Normal"/>
        <w:spacing w:lineRule="auto" w:line="240" w:before="0" w:after="0"/>
        <w:jc w:val="both"/>
        <w:rPr>
          <w:rFonts w:eastAsia="Times New Roman" w:cs="Times New Roman" w:ascii="Times New Roman" w:hAnsi="Times New Roman"/>
          <w:sz w:val="24"/>
          <w:szCs w:val="24"/>
          <w:lang w:eastAsia="es-ES"/>
        </w:rPr>
      </w:pPr>
      <w:r>
        <w:rPr>
          <w:rFonts w:eastAsia="Times New Roman" w:cs="Times New Roman" w:ascii="Times New Roman" w:hAnsi="Times New Roman"/>
          <w:sz w:val="24"/>
          <w:szCs w:val="24"/>
          <w:lang w:eastAsia="es-ES"/>
        </w:rPr>
      </w:r>
    </w:p>
    <w:p>
      <w:pPr>
        <w:pStyle w:val="Normal"/>
        <w:spacing w:lineRule="auto" w:line="240" w:before="0" w:after="0"/>
        <w:jc w:val="both"/>
        <w:rPr>
          <w:rFonts w:eastAsia="Times New Roman" w:cs="Times New Roman" w:ascii="Times New Roman" w:hAnsi="Times New Roman"/>
          <w:sz w:val="24"/>
          <w:szCs w:val="24"/>
          <w:lang w:eastAsia="es-ES"/>
        </w:rPr>
      </w:pPr>
      <w:r>
        <w:rPr>
          <w:rFonts w:eastAsia="Times New Roman" w:cs="Times New Roman" w:ascii="Times New Roman" w:hAnsi="Times New Roman"/>
          <w:sz w:val="24"/>
          <w:szCs w:val="24"/>
          <w:lang w:eastAsia="es-ES"/>
        </w:rPr>
        <w:t>En este sentido, el 15 de octubre de 2013 el Tribunal Europeo de Derechos Humanos de Estrasburgo (TEDH) paralizó cautelarmente el desalojo de dos familias que habitaban en un bloque de viviendas propiedad de la Sociedad de activos provenientes de la reestructuración bancaria (SAREB), de conformidad con los derechos contemplados en los artículos 3 y 8 del CEDH. </w:t>
      </w:r>
    </w:p>
    <w:p>
      <w:pPr>
        <w:pStyle w:val="Normal"/>
        <w:spacing w:lineRule="auto" w:line="240" w:before="0" w:after="0"/>
        <w:jc w:val="both"/>
        <w:rPr>
          <w:rFonts w:eastAsia="Times New Roman" w:cs="Times New Roman" w:ascii="Times New Roman" w:hAnsi="Times New Roman"/>
          <w:sz w:val="24"/>
          <w:szCs w:val="24"/>
          <w:lang w:eastAsia="es-ES"/>
        </w:rPr>
      </w:pPr>
      <w:r>
        <w:rPr>
          <w:rFonts w:eastAsia="Times New Roman" w:cs="Times New Roman" w:ascii="Times New Roman" w:hAnsi="Times New Roman"/>
          <w:sz w:val="24"/>
          <w:szCs w:val="24"/>
          <w:lang w:eastAsia="es-ES"/>
        </w:rPr>
        <w:t> </w:t>
      </w:r>
    </w:p>
    <w:p>
      <w:pPr>
        <w:pStyle w:val="Normal"/>
        <w:spacing w:lineRule="auto" w:line="240" w:before="0" w:after="0"/>
        <w:jc w:val="both"/>
        <w:rPr>
          <w:rFonts w:eastAsia="Times New Roman" w:cs="Times New Roman" w:ascii="Times New Roman" w:hAnsi="Times New Roman"/>
          <w:sz w:val="24"/>
          <w:szCs w:val="24"/>
          <w:lang w:eastAsia="es-ES"/>
        </w:rPr>
      </w:pPr>
      <w:r>
        <w:rPr>
          <w:rFonts w:eastAsia="Times New Roman" w:cs="Times New Roman" w:ascii="Times New Roman" w:hAnsi="Times New Roman"/>
          <w:sz w:val="24"/>
          <w:szCs w:val="24"/>
          <w:lang w:eastAsia="es-ES"/>
        </w:rPr>
        <w:t>En este mismo sentido se había pronunciado el mismo tribunal al impedir cautelarmente el desalojo de su residencia habitual de dos familias de la ciudad de Madrid sin que previamente existiera una alternativa habitacional adecuada (Demanda Nº 77842/12 del 11 de diciembre de 2012 y Nº 3537/13 del 31 de enero de 2013).</w:t>
      </w:r>
    </w:p>
    <w:p>
      <w:pPr>
        <w:pStyle w:val="Normal"/>
        <w:spacing w:lineRule="auto" w:line="240" w:before="0" w:after="0"/>
        <w:jc w:val="both"/>
        <w:rPr>
          <w:rFonts w:eastAsia="Times New Roman" w:cs="Times New Roman" w:ascii="Times New Roman" w:hAnsi="Times New Roman"/>
          <w:sz w:val="24"/>
          <w:szCs w:val="24"/>
          <w:lang w:eastAsia="es-ES"/>
        </w:rPr>
      </w:pPr>
      <w:r>
        <w:rPr>
          <w:rFonts w:eastAsia="Times New Roman" w:cs="Times New Roman" w:ascii="Times New Roman" w:hAnsi="Times New Roman"/>
          <w:sz w:val="24"/>
          <w:szCs w:val="24"/>
          <w:lang w:eastAsia="es-ES"/>
        </w:rPr>
        <w:t> </w:t>
      </w:r>
    </w:p>
    <w:p>
      <w:pPr>
        <w:pStyle w:val="Normal"/>
        <w:spacing w:lineRule="auto" w:line="240" w:before="0" w:after="0"/>
        <w:jc w:val="both"/>
        <w:rPr>
          <w:rFonts w:eastAsia="Times New Roman" w:cs="Times New Roman" w:ascii="Times New Roman" w:hAnsi="Times New Roman"/>
          <w:bCs/>
          <w:sz w:val="24"/>
          <w:szCs w:val="24"/>
          <w:lang w:eastAsia="es-ES"/>
        </w:rPr>
      </w:pPr>
      <w:r>
        <w:rPr>
          <w:rFonts w:eastAsia="Times New Roman" w:cs="Times New Roman" w:ascii="Times New Roman" w:hAnsi="Times New Roman"/>
          <w:sz w:val="24"/>
          <w:szCs w:val="24"/>
          <w:lang w:eastAsia="es-ES"/>
        </w:rPr>
        <w:t>Así</w:t>
      </w:r>
      <w:r>
        <w:rPr>
          <w:rFonts w:eastAsia="Times New Roman" w:cs="Times New Roman" w:ascii="Times New Roman" w:hAnsi="Times New Roman"/>
          <w:bCs/>
          <w:sz w:val="24"/>
          <w:szCs w:val="24"/>
          <w:lang w:eastAsia="es-ES"/>
        </w:rPr>
        <w:t>, el TEDH ha calificado los desalojos como la forma más extrema de injerencia en el derecho a la protección del domicilio, condenando la ausencia de condiciones mínimas de habitabilidad y la obligación de proveer un realojo adecuado a partir de dichos derechos.  </w:t>
      </w:r>
    </w:p>
    <w:p>
      <w:pPr>
        <w:pStyle w:val="Normal"/>
        <w:spacing w:lineRule="auto" w:line="240" w:before="0" w:after="0"/>
        <w:jc w:val="both"/>
        <w:rPr>
          <w:rFonts w:eastAsia="Times New Roman" w:cs="Times New Roman" w:ascii="Times New Roman" w:hAnsi="Times New Roman"/>
          <w:sz w:val="24"/>
          <w:szCs w:val="24"/>
          <w:lang w:eastAsia="es-ES"/>
        </w:rPr>
      </w:pPr>
      <w:r>
        <w:rPr>
          <w:rFonts w:eastAsia="Times New Roman" w:cs="Times New Roman" w:ascii="Times New Roman" w:hAnsi="Times New Roman"/>
          <w:sz w:val="24"/>
          <w:szCs w:val="24"/>
          <w:lang w:eastAsia="es-ES"/>
        </w:rPr>
      </w:r>
    </w:p>
    <w:p>
      <w:pPr>
        <w:pStyle w:val="Normal"/>
        <w:spacing w:lineRule="auto" w:line="240" w:before="0" w:after="0"/>
        <w:jc w:val="both"/>
        <w:rPr>
          <w:rFonts w:eastAsia="Times New Roman" w:cs="Times New Roman" w:ascii="Times New Roman" w:hAnsi="Times New Roman"/>
          <w:sz w:val="24"/>
          <w:szCs w:val="24"/>
          <w:lang w:eastAsia="es-ES"/>
        </w:rPr>
      </w:pPr>
      <w:r>
        <w:rPr>
          <w:rFonts w:eastAsia="Times New Roman" w:cs="Times New Roman" w:ascii="Times New Roman" w:hAnsi="Times New Roman"/>
          <w:sz w:val="24"/>
          <w:szCs w:val="24"/>
          <w:lang w:eastAsia="es-ES"/>
        </w:rPr>
        <w:t>Con base en dicha jurisprudencia</w:t>
      </w:r>
      <w:bookmarkEnd w:id="0"/>
      <w:r>
        <w:rPr>
          <w:rFonts w:eastAsia="Times New Roman" w:cs="Times New Roman" w:ascii="Times New Roman" w:hAnsi="Times New Roman"/>
          <w:sz w:val="24"/>
          <w:szCs w:val="24"/>
          <w:lang w:eastAsia="es-ES"/>
        </w:rPr>
        <w:t xml:space="preserve">, el TEDH ha ratificado que </w:t>
      </w:r>
      <w:r>
        <w:rPr>
          <w:rFonts w:eastAsia="Times New Roman" w:cs="Times New Roman" w:ascii="Times New Roman" w:hAnsi="Times New Roman"/>
          <w:bCs/>
          <w:sz w:val="24"/>
          <w:szCs w:val="24"/>
          <w:lang w:eastAsia="es-ES"/>
        </w:rPr>
        <w:t>el Estado es siempre responsable y garante del derecho a la vivienda</w:t>
      </w:r>
      <w:r>
        <w:rPr>
          <w:rFonts w:eastAsia="Times New Roman" w:cs="Times New Roman" w:ascii="Times New Roman" w:hAnsi="Times New Roman"/>
          <w:sz w:val="24"/>
          <w:szCs w:val="24"/>
          <w:lang w:eastAsia="es-ES"/>
        </w:rPr>
        <w:t xml:space="preserve"> y por tanto, </w:t>
      </w:r>
      <w:r>
        <w:rPr>
          <w:rFonts w:eastAsia="Times New Roman" w:cs="Times New Roman" w:ascii="Times New Roman" w:hAnsi="Times New Roman"/>
          <w:bCs/>
          <w:sz w:val="24"/>
          <w:szCs w:val="24"/>
          <w:lang w:eastAsia="es-ES"/>
        </w:rPr>
        <w:t>quien debe procurar una solución habitacional frente a los desalojos forzosos, en especial cuando se afecta a colectivos vulnerables,</w:t>
      </w:r>
      <w:r>
        <w:rPr>
          <w:rFonts w:eastAsia="Times New Roman" w:cs="Times New Roman" w:ascii="Times New Roman" w:hAnsi="Times New Roman"/>
          <w:sz w:val="24"/>
          <w:szCs w:val="24"/>
          <w:lang w:eastAsia="es-ES"/>
        </w:rPr>
        <w:t xml:space="preserve"> como los niños, que a consecuencia del desalojo quedarán expuestos a la violación de los derechos tutelados en los artículos 3 y 8 del Convenio, íntimamente relacionados con el derecho a la vivienda adecuada. </w:t>
      </w:r>
    </w:p>
    <w:p>
      <w:pPr>
        <w:pStyle w:val="Normal"/>
        <w:spacing w:lineRule="auto" w:line="240" w:before="0" w:after="0"/>
        <w:jc w:val="both"/>
        <w:rPr>
          <w:rFonts w:eastAsia="Times New Roman" w:cs="Times New Roman" w:ascii="Times New Roman" w:hAnsi="Times New Roman"/>
          <w:sz w:val="24"/>
          <w:szCs w:val="24"/>
          <w:lang w:eastAsia="es-ES"/>
        </w:rPr>
      </w:pPr>
      <w:r>
        <w:rPr>
          <w:rFonts w:eastAsia="Times New Roman" w:cs="Times New Roman" w:ascii="Times New Roman" w:hAnsi="Times New Roman"/>
          <w:sz w:val="24"/>
          <w:szCs w:val="24"/>
          <w:lang w:eastAsia="es-ES"/>
        </w:rPr>
      </w:r>
    </w:p>
    <w:p>
      <w:pPr>
        <w:pStyle w:val="Normal"/>
        <w:spacing w:lineRule="auto" w:line="240" w:before="0" w:after="0"/>
        <w:jc w:val="both"/>
        <w:rPr>
          <w:rFonts w:eastAsia="Times New Roman" w:cs="Times New Roman" w:ascii="Times New Roman" w:hAnsi="Times New Roman"/>
          <w:sz w:val="24"/>
          <w:szCs w:val="24"/>
          <w:lang w:eastAsia="es-ES"/>
        </w:rPr>
      </w:pPr>
      <w:r>
        <w:rPr>
          <w:rFonts w:eastAsia="Times New Roman" w:cs="Times New Roman" w:ascii="Times New Roman" w:hAnsi="Times New Roman"/>
          <w:sz w:val="24"/>
          <w:szCs w:val="24"/>
          <w:lang w:eastAsia="es-ES"/>
        </w:rPr>
        <w:t>Finalmente, con base en la jurisprudencia del TEDH adoptada en fecha 6 de diciembre de 2012 (solicitud Nº 77482) el Juzgado de Primera Instancia Nº 39 de Madrid en los autos de juicio verbal de desahucio Nº 1649/12 suspendió el lanzamiento de una familia integrada por una mujer y tres niños hasta tanto que los organismo públicos correspondientes informasen las medidas concretas que adoptarían a fin de garantizar su debido alojamiento.  Por su parte el Juzgado de Instrucción nº 4 de Madrid también ha suspendido varios desalojos de forma temporal hasta que la familia encontrará una solución habitacional. </w:t>
      </w:r>
    </w:p>
    <w:p>
      <w:pPr>
        <w:pStyle w:val="Normal"/>
        <w:spacing w:lineRule="auto" w:line="240" w:before="0" w:after="0"/>
        <w:jc w:val="both"/>
        <w:rPr>
          <w:rFonts w:eastAsia="Times New Roman" w:cs="Times New Roman" w:ascii="Times New Roman" w:hAnsi="Times New Roman"/>
          <w:sz w:val="24"/>
          <w:szCs w:val="24"/>
          <w:lang w:eastAsia="es-ES"/>
        </w:rPr>
      </w:pPr>
      <w:r>
        <w:rPr>
          <w:rFonts w:eastAsia="Times New Roman" w:cs="Times New Roman" w:ascii="Times New Roman" w:hAnsi="Times New Roman"/>
          <w:sz w:val="24"/>
          <w:szCs w:val="24"/>
          <w:lang w:eastAsia="es-ES"/>
        </w:rPr>
        <w:t xml:space="preserve">Puede concluirse, que una orden de desalojo que no se acompañe de un realojamiento adecuado desatiende abiertamente las declaraciones del TEDH cuando valora la necesidad y proporcionalidad de las medidas de desalojo, violando las garantías mínimas que el Estado debe atender frente a la vulneración de derechos fundamentales, Esta vulneración es aún más flagrante si nos encontramos ante un desalojo con fecha abierta. </w:t>
      </w:r>
    </w:p>
    <w:p>
      <w:pPr>
        <w:pStyle w:val="Normal"/>
        <w:spacing w:lineRule="auto" w:line="240" w:before="0" w:after="0"/>
        <w:rPr>
          <w:rFonts w:eastAsia="Times New Roman" w:cs="Times New Roman" w:ascii="Times New Roman" w:hAnsi="Times New Roman"/>
          <w:sz w:val="24"/>
          <w:szCs w:val="24"/>
          <w:lang w:eastAsia="es-ES"/>
        </w:rPr>
      </w:pPr>
      <w:r>
        <w:rPr>
          <w:rFonts w:eastAsia="Times New Roman" w:cs="Times New Roman" w:ascii="Times New Roman" w:hAnsi="Times New Roman"/>
          <w:sz w:val="24"/>
          <w:szCs w:val="24"/>
          <w:lang w:eastAsia="es-ES"/>
        </w:rPr>
        <w:t> </w:t>
      </w:r>
    </w:p>
    <w:p>
      <w:pPr>
        <w:pStyle w:val="Normal"/>
        <w:spacing w:lineRule="auto" w:line="240" w:before="0" w:after="0"/>
        <w:jc w:val="both"/>
        <w:rPr>
          <w:rFonts w:eastAsia="Times New Roman" w:cs="Times New Roman" w:ascii="Times New Roman" w:hAnsi="Times New Roman"/>
          <w:b/>
          <w:bCs/>
          <w:sz w:val="24"/>
          <w:szCs w:val="24"/>
          <w:lang w:eastAsia="es-ES"/>
        </w:rPr>
      </w:pPr>
      <w:r>
        <w:rPr>
          <w:rFonts w:eastAsia="Times New Roman" w:cs="Times New Roman" w:ascii="Times New Roman" w:hAnsi="Times New Roman"/>
          <w:b/>
          <w:bCs/>
          <w:sz w:val="24"/>
          <w:szCs w:val="24"/>
          <w:lang w:eastAsia="es-ES"/>
        </w:rPr>
        <w:t>QUINTO.- INCUMPLIMIENTO DE LAS MÍNIMAS GARANTÍAS EN MATERIA DE DESALOJOS FORZOSOS. </w:t>
      </w:r>
    </w:p>
    <w:p>
      <w:pPr>
        <w:pStyle w:val="Normal"/>
        <w:spacing w:lineRule="auto" w:line="240" w:before="0" w:after="0"/>
        <w:jc w:val="both"/>
        <w:rPr>
          <w:rFonts w:eastAsia="Times New Roman" w:cs="Times New Roman" w:ascii="Times New Roman" w:hAnsi="Times New Roman"/>
          <w:b/>
          <w:bCs/>
          <w:sz w:val="24"/>
          <w:szCs w:val="24"/>
          <w:lang w:eastAsia="es-ES"/>
        </w:rPr>
      </w:pPr>
      <w:r>
        <w:rPr>
          <w:rFonts w:eastAsia="Times New Roman" w:cs="Times New Roman" w:ascii="Times New Roman" w:hAnsi="Times New Roman"/>
          <w:b/>
          <w:bCs/>
          <w:sz w:val="24"/>
          <w:szCs w:val="24"/>
          <w:lang w:eastAsia="es-ES"/>
        </w:rPr>
        <w:t> </w:t>
      </w:r>
    </w:p>
    <w:p>
      <w:pPr>
        <w:pStyle w:val="Normal"/>
        <w:spacing w:lineRule="auto" w:line="240" w:before="0" w:after="0"/>
        <w:jc w:val="both"/>
        <w:rPr>
          <w:rFonts w:eastAsia="Times New Roman" w:cs="Times New Roman" w:ascii="Times New Roman" w:hAnsi="Times New Roman"/>
          <w:sz w:val="24"/>
          <w:szCs w:val="24"/>
          <w:lang w:eastAsia="es-ES"/>
        </w:rPr>
      </w:pPr>
      <w:r>
        <w:rPr>
          <w:rFonts w:eastAsia="Times New Roman" w:cs="Times New Roman" w:ascii="Times New Roman" w:hAnsi="Times New Roman"/>
          <w:sz w:val="24"/>
          <w:szCs w:val="24"/>
          <w:lang w:eastAsia="es-ES"/>
        </w:rPr>
        <w:t>España es firmante de la Declaración Universal de Derechos Humanos, el Pacto Internacional de Derechos Económicos, Sociales y Culturales, la Convención sobre los Derechos del Niño, el Pacto Internacional de Derechos Civiles y Políticos y el Convenio Europeo de Derechos Humanos.</w:t>
      </w:r>
    </w:p>
    <w:p>
      <w:pPr>
        <w:pStyle w:val="Normal"/>
        <w:spacing w:lineRule="auto" w:line="240" w:before="0" w:after="0"/>
        <w:jc w:val="both"/>
        <w:rPr>
          <w:rFonts w:eastAsia="Times New Roman" w:cs="Times New Roman" w:ascii="Times New Roman" w:hAnsi="Times New Roman"/>
          <w:sz w:val="24"/>
          <w:szCs w:val="24"/>
          <w:lang w:eastAsia="es-ES"/>
        </w:rPr>
      </w:pPr>
      <w:r>
        <w:rPr>
          <w:rFonts w:eastAsia="Times New Roman" w:cs="Times New Roman" w:ascii="Times New Roman" w:hAnsi="Times New Roman"/>
          <w:sz w:val="24"/>
          <w:szCs w:val="24"/>
          <w:lang w:eastAsia="es-ES"/>
        </w:rPr>
        <w:t> </w:t>
      </w:r>
    </w:p>
    <w:p>
      <w:pPr>
        <w:pStyle w:val="Normal"/>
        <w:spacing w:lineRule="auto" w:line="240" w:before="0" w:after="0"/>
        <w:jc w:val="both"/>
        <w:rPr>
          <w:rFonts w:eastAsia="Times New Roman" w:cs="Times New Roman" w:ascii="Times New Roman" w:hAnsi="Times New Roman"/>
          <w:b/>
          <w:bCs/>
          <w:sz w:val="24"/>
          <w:szCs w:val="24"/>
          <w:lang w:eastAsia="es-ES"/>
        </w:rPr>
      </w:pPr>
      <w:r>
        <w:rPr>
          <w:rFonts w:eastAsia="Times New Roman" w:cs="Times New Roman" w:ascii="Times New Roman" w:hAnsi="Times New Roman"/>
          <w:sz w:val="24"/>
          <w:szCs w:val="24"/>
          <w:lang w:eastAsia="es-ES"/>
        </w:rPr>
        <w:t xml:space="preserve">Como consecuencia de la pertenencia a distintos organismos dependientes de la Organización de Naciones Unidas y de la firma de los tratados antedichos, España ha sido objeto de análisis por distintas entidades internacionales en materia de protección de derechos básicos. En lo que concierne al caso actual, el Relator Especial de Naciones Unidas recomendó al Estado español la aplicación progresiva de los </w:t>
      </w:r>
      <w:r>
        <w:rPr>
          <w:rFonts w:eastAsia="Times New Roman" w:cs="Times New Roman" w:ascii="Times New Roman" w:hAnsi="Times New Roman"/>
          <w:b/>
          <w:bCs/>
          <w:sz w:val="24"/>
          <w:szCs w:val="24"/>
          <w:lang w:eastAsia="es-ES"/>
        </w:rPr>
        <w:t>“Principios Básicos y Directrices Sobre los Desalojos y el Desplazamiento Generados por el Desarrollo”.</w:t>
      </w:r>
    </w:p>
    <w:p>
      <w:pPr>
        <w:pStyle w:val="Normal"/>
        <w:spacing w:lineRule="auto" w:line="240" w:before="0" w:after="0"/>
        <w:rPr>
          <w:rFonts w:eastAsia="Times New Roman" w:cs="Times New Roman" w:ascii="Times New Roman" w:hAnsi="Times New Roman"/>
          <w:b/>
          <w:bCs/>
          <w:sz w:val="24"/>
          <w:szCs w:val="24"/>
          <w:lang w:eastAsia="es-ES"/>
        </w:rPr>
      </w:pPr>
      <w:r>
        <w:rPr>
          <w:rFonts w:eastAsia="Times New Roman" w:cs="Times New Roman" w:ascii="Times New Roman" w:hAnsi="Times New Roman"/>
          <w:b/>
          <w:bCs/>
          <w:sz w:val="24"/>
          <w:szCs w:val="24"/>
          <w:lang w:eastAsia="es-ES"/>
        </w:rPr>
        <w:t> </w:t>
      </w:r>
    </w:p>
    <w:p>
      <w:pPr>
        <w:pStyle w:val="Normal"/>
        <w:spacing w:lineRule="auto" w:line="240" w:before="0" w:after="0"/>
        <w:jc w:val="both"/>
        <w:rPr>
          <w:rFonts w:eastAsia="Times New Roman" w:cs="Times New Roman" w:ascii="Times New Roman" w:hAnsi="Times New Roman"/>
          <w:sz w:val="24"/>
          <w:szCs w:val="24"/>
          <w:lang w:eastAsia="es-ES"/>
        </w:rPr>
      </w:pPr>
      <w:r>
        <w:rPr>
          <w:rFonts w:eastAsia="Times New Roman" w:cs="Times New Roman" w:ascii="Times New Roman" w:hAnsi="Times New Roman"/>
          <w:sz w:val="24"/>
          <w:szCs w:val="24"/>
          <w:lang w:eastAsia="es-ES"/>
        </w:rPr>
        <w:t>En dichas directrices aparecen una serie de garantías o procedimientos básicos en caso de desalojo que impidan la vulneración de derechos reconocidos en los tratados internacionales, y que, entre otros, consisten en:</w:t>
      </w:r>
    </w:p>
    <w:p>
      <w:pPr>
        <w:pStyle w:val="Normal"/>
        <w:spacing w:lineRule="auto" w:line="240" w:before="0" w:after="0"/>
        <w:rPr>
          <w:rFonts w:eastAsia="Times New Roman" w:cs="Times New Roman" w:ascii="Times New Roman" w:hAnsi="Times New Roman"/>
          <w:sz w:val="24"/>
          <w:szCs w:val="24"/>
          <w:lang w:eastAsia="es-ES"/>
        </w:rPr>
      </w:pPr>
      <w:r>
        <w:rPr>
          <w:rFonts w:eastAsia="Times New Roman" w:cs="Times New Roman" w:ascii="Times New Roman" w:hAnsi="Times New Roman"/>
          <w:sz w:val="24"/>
          <w:szCs w:val="24"/>
          <w:lang w:eastAsia="es-ES"/>
        </w:rPr>
        <w:t> </w:t>
      </w:r>
    </w:p>
    <w:p>
      <w:pPr>
        <w:pStyle w:val="Normal"/>
        <w:spacing w:lineRule="auto" w:line="240" w:before="0" w:after="0"/>
        <w:rPr>
          <w:rFonts w:eastAsia="Times New Roman" w:cs="Times New Roman" w:ascii="Times New Roman" w:hAnsi="Times New Roman"/>
          <w:b/>
          <w:sz w:val="24"/>
          <w:szCs w:val="24"/>
          <w:u w:val="single"/>
          <w:lang w:eastAsia="es-ES"/>
        </w:rPr>
      </w:pPr>
      <w:r>
        <w:rPr>
          <w:rFonts w:eastAsia="Times New Roman" w:cs="Times New Roman" w:ascii="Times New Roman" w:hAnsi="Times New Roman"/>
          <w:b/>
          <w:sz w:val="24"/>
          <w:szCs w:val="24"/>
          <w:u w:val="single"/>
          <w:lang w:eastAsia="es-ES"/>
        </w:rPr>
        <w:t>Antes del desalojo las autoridades deben garantizar:</w:t>
      </w:r>
    </w:p>
    <w:p>
      <w:pPr>
        <w:pStyle w:val="Normal"/>
        <w:spacing w:lineRule="auto" w:line="240" w:before="0" w:after="0"/>
        <w:rPr>
          <w:rFonts w:eastAsia="Times New Roman" w:cs="Times New Roman" w:ascii="Times New Roman" w:hAnsi="Times New Roman"/>
          <w:sz w:val="24"/>
          <w:szCs w:val="24"/>
          <w:lang w:eastAsia="es-ES"/>
        </w:rPr>
      </w:pPr>
      <w:r>
        <w:rPr>
          <w:rFonts w:eastAsia="Times New Roman" w:cs="Times New Roman" w:ascii="Times New Roman" w:hAnsi="Times New Roman"/>
          <w:sz w:val="24"/>
          <w:szCs w:val="24"/>
          <w:lang w:eastAsia="es-ES"/>
        </w:rPr>
        <w:t> </w:t>
      </w:r>
    </w:p>
    <w:p>
      <w:pPr>
        <w:pStyle w:val="Normal"/>
        <w:spacing w:lineRule="auto" w:line="240" w:before="0" w:after="0"/>
        <w:jc w:val="both"/>
        <w:rPr>
          <w:rFonts w:eastAsia="Times New Roman" w:cs="Times New Roman" w:ascii="Times New Roman" w:hAnsi="Times New Roman"/>
          <w:sz w:val="24"/>
          <w:szCs w:val="24"/>
          <w:lang w:eastAsia="es-ES"/>
        </w:rPr>
      </w:pPr>
      <w:r>
        <w:rPr>
          <w:rFonts w:eastAsia="Times New Roman" w:cs="Times New Roman" w:ascii="Times New Roman" w:hAnsi="Times New Roman"/>
          <w:sz w:val="24"/>
          <w:szCs w:val="24"/>
          <w:lang w:eastAsia="es-ES"/>
        </w:rPr>
        <w:t>-          Oportunidades y medidas para facilitar la prestación de asesoramiento jurídico a las personas afectadas.</w:t>
      </w:r>
    </w:p>
    <w:p>
      <w:pPr>
        <w:pStyle w:val="Normal"/>
        <w:spacing w:lineRule="auto" w:line="240" w:before="0" w:after="0"/>
        <w:jc w:val="both"/>
        <w:rPr>
          <w:rFonts w:eastAsia="Times New Roman" w:cs="Times New Roman" w:ascii="Times New Roman" w:hAnsi="Times New Roman"/>
          <w:sz w:val="24"/>
          <w:szCs w:val="24"/>
          <w:lang w:eastAsia="es-ES"/>
        </w:rPr>
      </w:pPr>
      <w:r>
        <w:rPr>
          <w:rFonts w:eastAsia="Times New Roman" w:cs="Times New Roman" w:ascii="Times New Roman" w:hAnsi="Times New Roman"/>
          <w:sz w:val="24"/>
          <w:szCs w:val="24"/>
          <w:lang w:eastAsia="es-ES"/>
        </w:rPr>
        <w:t>-          Estudio de todas las posibles alternativas a los desalojos, con participación de los interesados en el proceso de toma de decisiones.</w:t>
      </w:r>
    </w:p>
    <w:p>
      <w:pPr>
        <w:pStyle w:val="Normal"/>
        <w:spacing w:lineRule="auto" w:line="240" w:before="0" w:after="0"/>
        <w:jc w:val="both"/>
        <w:rPr>
          <w:rFonts w:eastAsia="Times New Roman" w:cs="Times New Roman" w:ascii="Times New Roman" w:hAnsi="Times New Roman"/>
          <w:sz w:val="24"/>
          <w:szCs w:val="24"/>
          <w:lang w:eastAsia="es-ES"/>
        </w:rPr>
      </w:pPr>
      <w:r>
        <w:rPr>
          <w:rFonts w:eastAsia="Times New Roman" w:cs="Times New Roman" w:ascii="Times New Roman" w:hAnsi="Times New Roman"/>
          <w:sz w:val="24"/>
          <w:szCs w:val="24"/>
          <w:lang w:eastAsia="es-ES"/>
        </w:rPr>
        <w:t>-          Ofrecer oportunidades de diálogo, en particular a las mujeres y a los grupos vulnerables y marginados.</w:t>
      </w:r>
    </w:p>
    <w:p>
      <w:pPr>
        <w:pStyle w:val="Normal"/>
        <w:spacing w:lineRule="auto" w:line="240" w:before="0" w:after="0"/>
        <w:jc w:val="both"/>
        <w:rPr>
          <w:rFonts w:eastAsia="Times New Roman" w:cs="Times New Roman" w:ascii="Times New Roman" w:hAnsi="Times New Roman"/>
          <w:sz w:val="24"/>
          <w:szCs w:val="24"/>
          <w:lang w:eastAsia="es-ES"/>
        </w:rPr>
      </w:pPr>
      <w:r>
        <w:rPr>
          <w:rFonts w:eastAsia="Times New Roman" w:cs="Times New Roman" w:ascii="Times New Roman" w:hAnsi="Times New Roman"/>
          <w:sz w:val="24"/>
          <w:szCs w:val="24"/>
          <w:lang w:eastAsia="es-ES"/>
        </w:rPr>
        <w:t>-          Acreditación de que el desalojo es inevitable y que no contradice los compromisos internacionales de derechos humanos que protegen el bienestar general.</w:t>
      </w:r>
    </w:p>
    <w:p>
      <w:pPr>
        <w:pStyle w:val="Normal"/>
        <w:spacing w:lineRule="auto" w:line="240" w:before="0" w:after="0"/>
        <w:jc w:val="both"/>
        <w:rPr>
          <w:rFonts w:eastAsia="Times New Roman" w:cs="Times New Roman" w:ascii="Times New Roman" w:hAnsi="Times New Roman"/>
          <w:sz w:val="24"/>
          <w:szCs w:val="24"/>
          <w:lang w:eastAsia="es-ES"/>
        </w:rPr>
      </w:pPr>
      <w:r>
        <w:rPr>
          <w:rFonts w:eastAsia="Times New Roman" w:cs="Times New Roman" w:ascii="Times New Roman" w:hAnsi="Times New Roman"/>
          <w:sz w:val="24"/>
          <w:szCs w:val="24"/>
          <w:lang w:eastAsia="es-ES"/>
        </w:rPr>
        <w:t>-          Informar sobre las medidas adoptadas, en caso de que sea inevitable, para reducir al mínimo los efectos perjudiciales de los desalojos.</w:t>
      </w:r>
    </w:p>
    <w:p>
      <w:pPr>
        <w:pStyle w:val="Normal"/>
        <w:spacing w:lineRule="auto" w:line="240" w:before="0" w:after="0"/>
        <w:jc w:val="both"/>
        <w:rPr>
          <w:rFonts w:eastAsia="Times New Roman" w:cs="Times New Roman" w:ascii="Times New Roman" w:hAnsi="Times New Roman"/>
          <w:sz w:val="24"/>
          <w:szCs w:val="24"/>
          <w:lang w:eastAsia="es-ES"/>
        </w:rPr>
      </w:pPr>
      <w:r>
        <w:rPr>
          <w:rFonts w:eastAsia="Times New Roman" w:cs="Times New Roman" w:ascii="Times New Roman" w:hAnsi="Times New Roman"/>
          <w:sz w:val="24"/>
          <w:szCs w:val="24"/>
          <w:lang w:eastAsia="es-ES"/>
        </w:rPr>
        <w:t>-          Aviso previo y apropiado para realizar inventario y documentar las pertenencias que revistan valor para las personas que habitan la vivienda.</w:t>
      </w:r>
    </w:p>
    <w:p>
      <w:pPr>
        <w:pStyle w:val="Normal"/>
        <w:spacing w:lineRule="auto" w:line="240" w:before="0" w:after="0"/>
        <w:jc w:val="both"/>
        <w:rPr>
          <w:rFonts w:eastAsia="Times New Roman" w:cs="Times New Roman" w:ascii="Times New Roman" w:hAnsi="Times New Roman"/>
          <w:sz w:val="24"/>
          <w:szCs w:val="24"/>
          <w:lang w:eastAsia="es-ES"/>
        </w:rPr>
      </w:pPr>
      <w:r>
        <w:rPr>
          <w:rFonts w:eastAsia="Times New Roman" w:cs="Times New Roman" w:ascii="Times New Roman" w:hAnsi="Times New Roman"/>
          <w:sz w:val="24"/>
          <w:szCs w:val="24"/>
          <w:lang w:eastAsia="es-ES"/>
        </w:rPr>
        <w:t>-           Que los desalojos no generen personas sin hogar o vulnerables a la violación de otros derechos humanos.</w:t>
      </w:r>
    </w:p>
    <w:p>
      <w:pPr>
        <w:pStyle w:val="Normal"/>
        <w:spacing w:lineRule="auto" w:line="240" w:before="0" w:after="0"/>
        <w:jc w:val="both"/>
        <w:rPr>
          <w:rFonts w:eastAsia="Times New Roman" w:cs="Times New Roman" w:ascii="Times New Roman" w:hAnsi="Times New Roman"/>
          <w:sz w:val="24"/>
          <w:szCs w:val="24"/>
          <w:lang w:eastAsia="es-ES"/>
        </w:rPr>
      </w:pPr>
      <w:r>
        <w:rPr>
          <w:rFonts w:eastAsia="Times New Roman" w:cs="Times New Roman" w:ascii="Times New Roman" w:hAnsi="Times New Roman"/>
          <w:sz w:val="24"/>
          <w:szCs w:val="24"/>
          <w:lang w:eastAsia="es-ES"/>
        </w:rPr>
        <w:t> </w:t>
      </w:r>
    </w:p>
    <w:p>
      <w:pPr>
        <w:pStyle w:val="Normal"/>
        <w:spacing w:lineRule="auto" w:line="240" w:before="0" w:after="0"/>
        <w:rPr>
          <w:rFonts w:eastAsia="Times New Roman" w:cs="Times New Roman" w:ascii="Times New Roman" w:hAnsi="Times New Roman"/>
          <w:b/>
          <w:sz w:val="24"/>
          <w:szCs w:val="24"/>
          <w:u w:val="single"/>
          <w:lang w:eastAsia="es-ES"/>
        </w:rPr>
      </w:pPr>
      <w:r>
        <w:rPr>
          <w:rFonts w:eastAsia="Times New Roman" w:cs="Times New Roman" w:ascii="Times New Roman" w:hAnsi="Times New Roman"/>
          <w:b/>
          <w:sz w:val="24"/>
          <w:szCs w:val="24"/>
          <w:u w:val="single"/>
          <w:lang w:eastAsia="es-ES"/>
        </w:rPr>
        <w:t>Durante los desalojos:</w:t>
      </w:r>
    </w:p>
    <w:p>
      <w:pPr>
        <w:pStyle w:val="Normal"/>
        <w:spacing w:lineRule="auto" w:line="240" w:before="0" w:after="0"/>
        <w:jc w:val="both"/>
        <w:rPr>
          <w:rFonts w:eastAsia="Times New Roman" w:cs="Times New Roman" w:ascii="Times New Roman" w:hAnsi="Times New Roman"/>
          <w:b/>
          <w:sz w:val="24"/>
          <w:szCs w:val="24"/>
          <w:u w:val="single"/>
          <w:lang w:eastAsia="es-ES"/>
        </w:rPr>
      </w:pPr>
      <w:r>
        <w:rPr>
          <w:rFonts w:eastAsia="Times New Roman" w:cs="Times New Roman" w:ascii="Times New Roman" w:hAnsi="Times New Roman"/>
          <w:b/>
          <w:sz w:val="24"/>
          <w:szCs w:val="24"/>
          <w:u w:val="single"/>
          <w:lang w:eastAsia="es-ES"/>
        </w:rPr>
      </w:r>
    </w:p>
    <w:p>
      <w:pPr>
        <w:pStyle w:val="Normal"/>
        <w:spacing w:lineRule="auto" w:line="240" w:before="0" w:after="0"/>
        <w:jc w:val="both"/>
        <w:rPr>
          <w:rFonts w:eastAsia="Times New Roman" w:cs="Times New Roman" w:ascii="Times New Roman" w:hAnsi="Times New Roman"/>
          <w:sz w:val="24"/>
          <w:szCs w:val="24"/>
          <w:lang w:eastAsia="es-ES"/>
        </w:rPr>
      </w:pPr>
      <w:r>
        <w:rPr>
          <w:rFonts w:eastAsia="Times New Roman" w:cs="Times New Roman" w:ascii="Times New Roman" w:hAnsi="Times New Roman"/>
          <w:sz w:val="24"/>
          <w:szCs w:val="24"/>
          <w:lang w:eastAsia="es-ES"/>
        </w:rPr>
        <w:t>-          Permitir el acceso a observadores neutrales para garantizar el cumplimiento de los principios generales en materia de desalojos y salvaguarda de los derechos humanos.</w:t>
      </w:r>
    </w:p>
    <w:p>
      <w:pPr>
        <w:pStyle w:val="Normal"/>
        <w:spacing w:lineRule="auto" w:line="240" w:before="0" w:after="0"/>
        <w:jc w:val="both"/>
        <w:rPr>
          <w:rFonts w:eastAsia="Times New Roman" w:cs="Times New Roman" w:ascii="Times New Roman" w:hAnsi="Times New Roman"/>
          <w:sz w:val="24"/>
          <w:szCs w:val="24"/>
          <w:lang w:eastAsia="es-ES"/>
        </w:rPr>
      </w:pPr>
      <w:r>
        <w:rPr>
          <w:rFonts w:eastAsia="Times New Roman" w:cs="Times New Roman" w:ascii="Times New Roman" w:hAnsi="Times New Roman"/>
          <w:sz w:val="24"/>
          <w:szCs w:val="24"/>
          <w:lang w:eastAsia="es-ES"/>
        </w:rPr>
        <w:t>-          No realizarse en tiempo inclemente, por la noche, durante los festivales o las fiestas religiosas, antes de las elecciones o durante o justo antes de los exámenes en las escuelas.</w:t>
      </w:r>
    </w:p>
    <w:p>
      <w:pPr>
        <w:pStyle w:val="Normal"/>
        <w:spacing w:lineRule="auto" w:line="240" w:before="0" w:after="0"/>
        <w:jc w:val="both"/>
        <w:rPr>
          <w:rFonts w:eastAsia="Times New Roman" w:cs="Times New Roman" w:ascii="Times New Roman" w:hAnsi="Times New Roman"/>
          <w:sz w:val="24"/>
          <w:szCs w:val="24"/>
          <w:lang w:eastAsia="es-ES"/>
        </w:rPr>
      </w:pPr>
      <w:r>
        <w:rPr>
          <w:rFonts w:eastAsia="Times New Roman" w:cs="Times New Roman" w:ascii="Times New Roman" w:hAnsi="Times New Roman"/>
          <w:sz w:val="24"/>
          <w:szCs w:val="24"/>
          <w:lang w:eastAsia="es-ES"/>
        </w:rPr>
        <w:t>  </w:t>
      </w:r>
    </w:p>
    <w:p>
      <w:pPr>
        <w:pStyle w:val="Normal"/>
        <w:spacing w:lineRule="auto" w:line="240" w:before="0" w:after="0"/>
        <w:rPr>
          <w:rFonts w:eastAsia="Times New Roman" w:cs="Times New Roman" w:ascii="Times New Roman" w:hAnsi="Times New Roman"/>
          <w:b/>
          <w:sz w:val="24"/>
          <w:szCs w:val="24"/>
          <w:u w:val="single"/>
          <w:lang w:eastAsia="es-ES"/>
        </w:rPr>
      </w:pPr>
      <w:r>
        <w:rPr>
          <w:rFonts w:eastAsia="Times New Roman" w:cs="Times New Roman" w:ascii="Times New Roman" w:hAnsi="Times New Roman"/>
          <w:b/>
          <w:sz w:val="24"/>
          <w:szCs w:val="24"/>
          <w:u w:val="single"/>
          <w:lang w:eastAsia="es-ES"/>
        </w:rPr>
        <w:t>Después del desalojo:</w:t>
      </w:r>
    </w:p>
    <w:p>
      <w:pPr>
        <w:pStyle w:val="Normal"/>
        <w:spacing w:lineRule="auto" w:line="240" w:before="0" w:after="0"/>
        <w:rPr>
          <w:rFonts w:eastAsia="Times New Roman" w:cs="Times New Roman" w:ascii="Times New Roman" w:hAnsi="Times New Roman"/>
          <w:sz w:val="24"/>
          <w:szCs w:val="24"/>
          <w:lang w:eastAsia="es-ES"/>
        </w:rPr>
      </w:pPr>
      <w:r>
        <w:rPr>
          <w:rFonts w:eastAsia="Times New Roman" w:cs="Times New Roman" w:ascii="Times New Roman" w:hAnsi="Times New Roman"/>
          <w:sz w:val="24"/>
          <w:szCs w:val="24"/>
          <w:lang w:eastAsia="es-ES"/>
        </w:rPr>
        <w:t> </w:t>
      </w:r>
    </w:p>
    <w:p>
      <w:pPr>
        <w:pStyle w:val="Normal"/>
        <w:spacing w:lineRule="auto" w:line="240" w:before="0" w:after="0"/>
        <w:jc w:val="both"/>
        <w:rPr>
          <w:rFonts w:eastAsia="Times New Roman" w:cs="Times New Roman" w:ascii="Times New Roman" w:hAnsi="Times New Roman"/>
          <w:sz w:val="24"/>
          <w:szCs w:val="24"/>
          <w:lang w:eastAsia="es-ES"/>
        </w:rPr>
      </w:pPr>
      <w:r>
        <w:rPr>
          <w:rFonts w:eastAsia="Times New Roman" w:cs="Times New Roman" w:ascii="Times New Roman" w:hAnsi="Times New Roman"/>
          <w:sz w:val="24"/>
          <w:szCs w:val="24"/>
          <w:lang w:eastAsia="es-ES"/>
        </w:rPr>
        <w:t>-          Alojamiento alternativo y suficiente.</w:t>
      </w:r>
    </w:p>
    <w:p>
      <w:pPr>
        <w:pStyle w:val="Normal"/>
        <w:spacing w:lineRule="auto" w:line="240" w:before="0" w:after="0"/>
        <w:jc w:val="both"/>
        <w:rPr>
          <w:rFonts w:eastAsia="Times New Roman" w:cs="Times New Roman" w:ascii="Times New Roman" w:hAnsi="Times New Roman"/>
          <w:sz w:val="24"/>
          <w:szCs w:val="24"/>
          <w:lang w:eastAsia="es-ES"/>
        </w:rPr>
      </w:pPr>
      <w:r>
        <w:rPr>
          <w:rFonts w:eastAsia="Times New Roman" w:cs="Times New Roman" w:ascii="Times New Roman" w:hAnsi="Times New Roman"/>
          <w:sz w:val="24"/>
          <w:szCs w:val="24"/>
          <w:lang w:eastAsia="es-ES"/>
        </w:rPr>
        <w:t>-          Atención médica en caso de heridas o lesiones ocurridas en el desalojo.</w:t>
      </w:r>
    </w:p>
    <w:p>
      <w:pPr>
        <w:pStyle w:val="Normal"/>
        <w:spacing w:lineRule="auto" w:line="240" w:before="0" w:after="0"/>
        <w:jc w:val="both"/>
        <w:rPr>
          <w:rFonts w:eastAsia="Times New Roman" w:cs="Times New Roman" w:ascii="Times New Roman" w:hAnsi="Times New Roman"/>
          <w:sz w:val="24"/>
          <w:szCs w:val="24"/>
          <w:lang w:eastAsia="es-ES"/>
        </w:rPr>
      </w:pPr>
      <w:r>
        <w:rPr>
          <w:rFonts w:eastAsia="Times New Roman" w:cs="Times New Roman" w:ascii="Times New Roman" w:hAnsi="Times New Roman"/>
          <w:sz w:val="24"/>
          <w:szCs w:val="24"/>
          <w:lang w:eastAsia="es-ES"/>
        </w:rPr>
        <w:t>-          Reinstalación en otro lugar con los servicios mínimos para garantizar una vida digna.</w:t>
      </w:r>
    </w:p>
    <w:p>
      <w:pPr>
        <w:pStyle w:val="Normal"/>
        <w:spacing w:lineRule="auto" w:line="240" w:before="0" w:after="0"/>
        <w:jc w:val="both"/>
        <w:rPr>
          <w:rFonts w:eastAsia="Times New Roman" w:cs="Times New Roman" w:ascii="Times New Roman" w:hAnsi="Times New Roman"/>
          <w:sz w:val="24"/>
          <w:szCs w:val="24"/>
          <w:lang w:eastAsia="es-ES"/>
        </w:rPr>
      </w:pPr>
      <w:r>
        <w:rPr>
          <w:rFonts w:eastAsia="Times New Roman" w:cs="Times New Roman" w:ascii="Times New Roman" w:hAnsi="Times New Roman"/>
          <w:sz w:val="24"/>
          <w:szCs w:val="24"/>
          <w:lang w:eastAsia="es-ES"/>
        </w:rPr>
        <w:t> </w:t>
      </w:r>
    </w:p>
    <w:p>
      <w:pPr>
        <w:pStyle w:val="Normal"/>
        <w:spacing w:lineRule="auto" w:line="240" w:before="0" w:after="0"/>
        <w:rPr>
          <w:rFonts w:eastAsia="Times New Roman" w:cs="Times New Roman" w:ascii="Times New Roman" w:hAnsi="Times New Roman"/>
          <w:b/>
          <w:bCs/>
          <w:sz w:val="24"/>
          <w:szCs w:val="24"/>
          <w:u w:val="single"/>
          <w:lang w:eastAsia="es-ES"/>
        </w:rPr>
      </w:pPr>
      <w:r>
        <w:rPr>
          <w:rFonts w:eastAsia="Times New Roman" w:cs="Times New Roman" w:ascii="Times New Roman" w:hAnsi="Times New Roman"/>
          <w:sz w:val="24"/>
          <w:szCs w:val="24"/>
          <w:lang w:eastAsia="es-ES"/>
        </w:rPr>
        <w:t> </w:t>
      </w:r>
      <w:r>
        <w:rPr>
          <w:rFonts w:eastAsia="Times New Roman" w:cs="Times New Roman" w:ascii="Times New Roman" w:hAnsi="Times New Roman"/>
          <w:b/>
          <w:bCs/>
          <w:sz w:val="24"/>
          <w:szCs w:val="24"/>
          <w:u w:val="single"/>
          <w:lang w:eastAsia="es-ES"/>
        </w:rPr>
        <w:t>Ninguna de las garantías mencionadas sería respetada por este Juzgador, de ejecutarse el desalojo, máxime fijando una fecha abierta para ello. </w:t>
      </w:r>
    </w:p>
    <w:p>
      <w:pPr>
        <w:pStyle w:val="Normal"/>
        <w:spacing w:lineRule="auto" w:line="240" w:before="0" w:after="0"/>
        <w:rPr>
          <w:rFonts w:eastAsia="Times New Roman" w:cs="Times New Roman" w:ascii="Times New Roman" w:hAnsi="Times New Roman"/>
          <w:sz w:val="24"/>
          <w:szCs w:val="24"/>
          <w:u w:val="single"/>
          <w:lang w:eastAsia="es-ES"/>
        </w:rPr>
      </w:pPr>
      <w:r>
        <w:rPr>
          <w:rFonts w:eastAsia="Times New Roman" w:cs="Times New Roman" w:ascii="Times New Roman" w:hAnsi="Times New Roman"/>
          <w:sz w:val="24"/>
          <w:szCs w:val="24"/>
          <w:u w:val="single"/>
          <w:lang w:eastAsia="es-ES"/>
        </w:rPr>
      </w:r>
    </w:p>
    <w:p>
      <w:pPr>
        <w:pStyle w:val="Normal"/>
        <w:spacing w:lineRule="auto" w:line="240" w:before="0" w:after="0"/>
        <w:rPr>
          <w:rFonts w:eastAsia="Times New Roman" w:cs="Times New Roman" w:ascii="Times New Roman" w:hAnsi="Times New Roman"/>
          <w:sz w:val="24"/>
          <w:szCs w:val="24"/>
          <w:u w:val="single"/>
          <w:lang w:eastAsia="es-ES"/>
        </w:rPr>
      </w:pPr>
      <w:r>
        <w:rPr>
          <w:rFonts w:eastAsia="Times New Roman" w:cs="Times New Roman" w:ascii="Times New Roman" w:hAnsi="Times New Roman"/>
          <w:sz w:val="24"/>
          <w:szCs w:val="24"/>
          <w:u w:val="single"/>
          <w:lang w:eastAsia="es-ES"/>
        </w:rPr>
      </w:r>
    </w:p>
    <w:p>
      <w:pPr>
        <w:pStyle w:val="Normal"/>
        <w:spacing w:lineRule="auto" w:line="240" w:before="0" w:after="0"/>
        <w:rPr>
          <w:rFonts w:eastAsia="Times New Roman" w:cs="Times New Roman" w:ascii="Times New Roman" w:hAnsi="Times New Roman"/>
          <w:sz w:val="24"/>
          <w:szCs w:val="24"/>
          <w:lang w:eastAsia="es-ES"/>
        </w:rPr>
      </w:pPr>
      <w:r>
        <w:rPr>
          <w:rFonts w:eastAsia="Times New Roman" w:cs="Times New Roman" w:ascii="Times New Roman" w:hAnsi="Times New Roman"/>
          <w:sz w:val="24"/>
          <w:szCs w:val="24"/>
          <w:lang w:eastAsia="es-ES"/>
        </w:rPr>
        <w:t>Y por lo expuesto,</w:t>
      </w:r>
    </w:p>
    <w:p>
      <w:pPr>
        <w:pStyle w:val="Normal"/>
        <w:spacing w:lineRule="auto" w:line="240" w:before="0" w:after="0"/>
        <w:rPr>
          <w:rFonts w:eastAsia="Times New Roman" w:cs="Times New Roman" w:ascii="Times New Roman" w:hAnsi="Times New Roman"/>
          <w:sz w:val="24"/>
          <w:szCs w:val="24"/>
          <w:lang w:eastAsia="es-ES"/>
        </w:rPr>
      </w:pPr>
      <w:r>
        <w:rPr>
          <w:rFonts w:eastAsia="Times New Roman" w:cs="Times New Roman" w:ascii="Times New Roman" w:hAnsi="Times New Roman"/>
          <w:sz w:val="24"/>
          <w:szCs w:val="24"/>
          <w:lang w:eastAsia="es-ES"/>
        </w:rPr>
      </w:r>
    </w:p>
    <w:p>
      <w:pPr>
        <w:pStyle w:val="Normal"/>
        <w:spacing w:lineRule="auto" w:line="240" w:before="0" w:after="0"/>
        <w:rPr>
          <w:rFonts w:eastAsia="Times New Roman" w:cs="Times New Roman" w:ascii="Times New Roman" w:hAnsi="Times New Roman"/>
          <w:sz w:val="24"/>
          <w:szCs w:val="24"/>
          <w:lang w:eastAsia="es-ES"/>
        </w:rPr>
      </w:pPr>
      <w:r>
        <w:rPr>
          <w:rFonts w:eastAsia="Times New Roman" w:cs="Times New Roman" w:ascii="Times New Roman" w:hAnsi="Times New Roman"/>
          <w:sz w:val="24"/>
          <w:szCs w:val="24"/>
          <w:lang w:eastAsia="es-ES"/>
        </w:rPr>
      </w:r>
    </w:p>
    <w:p>
      <w:pPr>
        <w:pStyle w:val="Normal"/>
        <w:spacing w:lineRule="auto" w:line="240" w:before="0" w:after="0"/>
        <w:jc w:val="both"/>
        <w:rPr>
          <w:rFonts w:eastAsia="Times New Roman" w:cs="Times New Roman" w:ascii="Times New Roman" w:hAnsi="Times New Roman"/>
          <w:sz w:val="24"/>
          <w:szCs w:val="24"/>
          <w:lang w:eastAsia="es-ES"/>
        </w:rPr>
      </w:pPr>
      <w:r>
        <w:rPr>
          <w:rFonts w:eastAsia="Times New Roman" w:cs="Times New Roman" w:ascii="Times New Roman" w:hAnsi="Times New Roman"/>
          <w:b/>
          <w:bCs/>
          <w:sz w:val="24"/>
          <w:szCs w:val="24"/>
          <w:lang w:eastAsia="es-ES"/>
        </w:rPr>
        <w:t xml:space="preserve">SUPLICO A ESTE JUZGADO,  </w:t>
      </w:r>
      <w:r>
        <w:rPr>
          <w:rFonts w:eastAsia="Times New Roman" w:cs="Times New Roman" w:ascii="Times New Roman" w:hAnsi="Times New Roman"/>
          <w:sz w:val="24"/>
          <w:szCs w:val="24"/>
          <w:lang w:eastAsia="es-ES"/>
        </w:rPr>
        <w:t xml:space="preserve">Que teniendo por presentado este escrito con las manifestaciones en él contenidas, se sirva admitirlo, se una a los autos  y en sus méritos tenga por formuladas las anteriores ALEGACIONES contra la resolución de fecha ………….. por los motivos anteriormente expuestos, y se proceda a </w:t>
      </w:r>
      <w:r>
        <w:rPr>
          <w:rFonts w:eastAsia="Times New Roman" w:cs="Times New Roman" w:ascii="Times New Roman" w:hAnsi="Times New Roman"/>
          <w:b/>
          <w:sz w:val="24"/>
          <w:szCs w:val="24"/>
          <w:lang w:eastAsia="es-ES"/>
        </w:rPr>
        <w:t xml:space="preserve">paralizar el desalojo </w:t>
      </w:r>
      <w:r>
        <w:rPr>
          <w:rFonts w:eastAsia="Times New Roman" w:cs="Times New Roman" w:ascii="Times New Roman" w:hAnsi="Times New Roman"/>
          <w:sz w:val="24"/>
          <w:szCs w:val="24"/>
          <w:lang w:eastAsia="es-ES"/>
        </w:rPr>
        <w:t>hasta contar con alternativa habitacional adecuada, y subsidiariamente, para el caso en que no se acuerde su paralización se proceda a señalar por este Juzgado o el Servicio Común de Notificaciones, fecha y hora para proceder al mismo a fin de garantizar el Derecho Fundamental a la Tutela Judicial Efectiva y resto de DDFF, y todo ello por así proceder en Derecho. </w:t>
      </w:r>
    </w:p>
    <w:p>
      <w:pPr>
        <w:pStyle w:val="Normal"/>
        <w:spacing w:lineRule="auto" w:line="240" w:before="0" w:after="0"/>
        <w:jc w:val="both"/>
        <w:rPr>
          <w:rFonts w:eastAsia="Times New Roman" w:cs="Times New Roman" w:ascii="Times New Roman" w:hAnsi="Times New Roman"/>
          <w:sz w:val="24"/>
          <w:szCs w:val="24"/>
          <w:lang w:eastAsia="es-ES"/>
        </w:rPr>
      </w:pPr>
      <w:r>
        <w:rPr>
          <w:rFonts w:eastAsia="Times New Roman" w:cs="Times New Roman" w:ascii="Times New Roman" w:hAnsi="Times New Roman"/>
          <w:sz w:val="24"/>
          <w:szCs w:val="24"/>
          <w:lang w:eastAsia="es-ES"/>
        </w:rPr>
      </w:r>
    </w:p>
    <w:p>
      <w:pPr>
        <w:pStyle w:val="Normal"/>
        <w:spacing w:lineRule="auto" w:line="240" w:before="0" w:after="0"/>
        <w:jc w:val="both"/>
        <w:rPr>
          <w:rFonts w:eastAsia="Times New Roman" w:cs="Times New Roman" w:ascii="Times New Roman" w:hAnsi="Times New Roman"/>
          <w:sz w:val="24"/>
          <w:szCs w:val="24"/>
          <w:lang w:eastAsia="es-ES"/>
        </w:rPr>
      </w:pPr>
      <w:r>
        <w:rPr>
          <w:rFonts w:eastAsia="Times New Roman" w:cs="Times New Roman" w:ascii="Times New Roman" w:hAnsi="Times New Roman"/>
          <w:sz w:val="24"/>
          <w:szCs w:val="24"/>
          <w:lang w:eastAsia="es-ES"/>
        </w:rPr>
      </w:r>
    </w:p>
    <w:p>
      <w:pPr>
        <w:pStyle w:val="Normal"/>
        <w:spacing w:lineRule="auto" w:line="240" w:before="0" w:after="0"/>
        <w:jc w:val="both"/>
        <w:rPr>
          <w:rFonts w:eastAsia="Times New Roman" w:cs="Times New Roman" w:ascii="Times New Roman" w:hAnsi="Times New Roman"/>
          <w:sz w:val="24"/>
          <w:szCs w:val="24"/>
          <w:lang w:eastAsia="es-ES"/>
        </w:rPr>
      </w:pPr>
      <w:r>
        <w:rPr>
          <w:rFonts w:eastAsia="Times New Roman" w:cs="Times New Roman" w:ascii="Times New Roman" w:hAnsi="Times New Roman"/>
          <w:sz w:val="24"/>
          <w:szCs w:val="24"/>
          <w:lang w:eastAsia="es-ES"/>
        </w:rPr>
        <w:t> </w:t>
      </w:r>
    </w:p>
    <w:p>
      <w:pPr>
        <w:pStyle w:val="Normal"/>
        <w:spacing w:lineRule="auto" w:line="240" w:before="0" w:after="0"/>
        <w:rPr>
          <w:rFonts w:eastAsia="Times New Roman" w:cs="Times New Roman" w:ascii="Times New Roman" w:hAnsi="Times New Roman"/>
          <w:sz w:val="24"/>
          <w:szCs w:val="24"/>
          <w:lang w:eastAsia="es-ES"/>
        </w:rPr>
      </w:pPr>
      <w:r>
        <w:rPr>
          <w:rFonts w:eastAsia="Times New Roman" w:cs="Times New Roman" w:ascii="Times New Roman" w:hAnsi="Times New Roman"/>
          <w:sz w:val="24"/>
          <w:szCs w:val="24"/>
          <w:lang w:eastAsia="es-ES"/>
        </w:rPr>
        <w:t>Por ser de Justicia que se pide en………..a………….de………..</w:t>
      </w:r>
    </w:p>
    <w:p>
      <w:pPr>
        <w:pStyle w:val="Normal"/>
        <w:rPr/>
      </w:pPr>
      <w:r>
        <w:rPr/>
      </w:r>
    </w:p>
    <w:sectPr>
      <w:type w:val="nextPage"/>
      <w:pgSz w:w="11906" w:h="16838"/>
      <w:pgMar w:left="1701" w:right="1701"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docDefaults>
    <w:rPrDefault>
      <w:rPr>
        <w:rFonts w:ascii="Calibri" w:hAnsi="Calibri" w:eastAsia="Droid Sans Fallback" w:cs=""/>
        <w:sz w:val="22"/>
        <w:szCs w:val="22"/>
        <w:lang w:val="es-ES" w:eastAsia="en-US" w:bidi="ar-SA"/>
      </w:rPr>
    </w:rPrDefault>
    <w:pPrDefault>
      <w:pPr>
        <w:spacing w:lineRule="auto" w:line="276"/>
      </w:pPr>
    </w:pPrDefault>
  </w:docDefaults>
  <w:latentStyles w:count="267" w:defQFormat="0" w:defUnhideWhenUsed="1" w:defSemiHidden="1" w:defUIPriority="99" w:defLockedState="0">
    <w:lsdException w:qFormat="1" w:semiHidden="0" w:uiPriority="0" w:unhideWhenUsed="0" w:name="Normal"/>
    <w:lsdException w:qFormat="1" w:semiHidden="0" w:uiPriority="9" w:unhideWhenUsed="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semiHidden="0" w:uiPriority="10" w:unhideWhenUsed="0" w:name="Title"/>
    <w:lsdException w:uiPriority="1" w:name="Default Paragraph Font"/>
    <w:lsdException w:qFormat="1" w:semiHidden="0" w:uiPriority="11" w:unhideWhenUsed="0" w:name="Subtitle"/>
    <w:lsdException w:qFormat="1" w:semiHidden="0" w:uiPriority="22" w:unhideWhenUsed="0" w:name="Strong"/>
    <w:lsdException w:qFormat="1" w:semiHidden="0" w:uiPriority="20" w:unhideWhenUsed="0" w:name="Emphasis"/>
    <w:lsdException w:semiHidden="0" w:uiPriority="59" w:unhideWhenUsed="0" w:name="Table Grid"/>
    <w:lsdException w:unhideWhenUsed="0" w:name="Placeholder Text"/>
    <w:lsdException w:qFormat="1" w:semiHidden="0" w:uiPriority="1" w:unhideWhenUsed="0" w:name="No Spacing"/>
    <w:lsdException w:semiHidden="0" w:uiPriority="60" w:unhideWhenUsed="0" w:name="Light Shading"/>
    <w:lsdException w:semiHidden="0" w:uiPriority="61" w:unhideWhenUsed="0" w:name="Light List"/>
    <w:lsdException w:semiHidden="0" w:uiPriority="62" w:unhideWhenUsed="0" w:name="Light Grid"/>
    <w:lsdException w:semiHidden="0" w:uiPriority="63" w:unhideWhenUsed="0" w:name="Medium Shading 1"/>
    <w:lsdException w:semiHidden="0" w:uiPriority="64" w:unhideWhenUsed="0" w:name="Medium Shading 2"/>
    <w:lsdException w:semiHidden="0" w:uiPriority="65" w:unhideWhenUsed="0" w:name="Medium List 1"/>
    <w:lsdException w:semiHidden="0" w:uiPriority="66" w:unhideWhenUsed="0" w:name="Medium List 2"/>
    <w:lsdException w:semiHidden="0" w:uiPriority="67" w:unhideWhenUsed="0" w:name="Medium Grid 1"/>
    <w:lsdException w:semiHidden="0" w:uiPriority="68" w:unhideWhenUsed="0" w:name="Medium Grid 2"/>
    <w:lsdException w:semiHidden="0" w:uiPriority="69" w:unhideWhenUsed="0" w:name="Medium Grid 3"/>
    <w:lsdException w:semiHidden="0" w:uiPriority="70" w:unhideWhenUsed="0" w:name="Dark List"/>
    <w:lsdException w:semiHidden="0" w:uiPriority="71" w:unhideWhenUsed="0" w:name="Colorful Shading"/>
    <w:lsdException w:semiHidden="0" w:uiPriority="72" w:unhideWhenUsed="0" w:name="Colorful List"/>
    <w:lsdException w:semiHidden="0" w:uiPriority="73" w:unhideWhenUsed="0" w:name="Colorful Grid"/>
    <w:lsdException w:semiHidden="0" w:uiPriority="60" w:unhideWhenUsed="0" w:name="Light Shading Accent 1"/>
    <w:lsdException w:semiHidden="0" w:uiPriority="61" w:unhideWhenUsed="0" w:name="Light List Accent 1"/>
    <w:lsdException w:semiHidden="0" w:uiPriority="62" w:unhideWhenUsed="0" w:name="Light Grid Accent 1"/>
    <w:lsdException w:semiHidden="0" w:uiPriority="63" w:unhideWhenUsed="0" w:name="Medium Shading 1 Accent 1"/>
    <w:lsdException w:semiHidden="0" w:uiPriority="64" w:unhideWhenUsed="0" w:name="Medium Shading 2 Accent 1"/>
    <w:lsdException w:semiHidden="0" w:uiPriority="65" w:unhideWhenUsed="0" w:name="Medium List 1 Accent 1"/>
    <w:lsdException w:unhideWhenUsed="0" w:name="Revision"/>
    <w:lsdException w:qFormat="1" w:semiHidden="0" w:uiPriority="34" w:unhideWhenUsed="0" w:name="List Paragraph"/>
    <w:lsdException w:qFormat="1" w:semiHidden="0" w:uiPriority="29" w:unhideWhenUsed="0" w:name="Quote"/>
    <w:lsdException w:qFormat="1" w:semiHidden="0" w:uiPriority="30" w:unhideWhenUsed="0" w:name="Intense Quote"/>
    <w:lsdException w:semiHidden="0" w:uiPriority="66" w:unhideWhenUsed="0" w:name="Medium List 2 Accent 1"/>
    <w:lsdException w:semiHidden="0" w:uiPriority="67" w:unhideWhenUsed="0" w:name="Medium Grid 1 Accent 1"/>
    <w:lsdException w:semiHidden="0" w:uiPriority="68" w:unhideWhenUsed="0" w:name="Medium Grid 2 Accent 1"/>
    <w:lsdException w:semiHidden="0" w:uiPriority="69" w:unhideWhenUsed="0" w:name="Medium Grid 3 Accent 1"/>
    <w:lsdException w:semiHidden="0" w:uiPriority="70" w:unhideWhenUsed="0" w:name="Dark List Accent 1"/>
    <w:lsdException w:semiHidden="0" w:uiPriority="71" w:unhideWhenUsed="0" w:name="Colorful Shading Accent 1"/>
    <w:lsdException w:semiHidden="0" w:uiPriority="72" w:unhideWhenUsed="0" w:name="Colorful List Accent 1"/>
    <w:lsdException w:semiHidden="0" w:uiPriority="73" w:unhideWhenUsed="0" w:name="Colorful Grid Accent 1"/>
    <w:lsdException w:semiHidden="0" w:uiPriority="60" w:unhideWhenUsed="0" w:name="Light Shading Accent 2"/>
    <w:lsdException w:semiHidden="0" w:uiPriority="61" w:unhideWhenUsed="0" w:name="Light List Accent 2"/>
    <w:lsdException w:semiHidden="0" w:uiPriority="62" w:unhideWhenUsed="0" w:name="Light Grid Accent 2"/>
    <w:lsdException w:semiHidden="0" w:uiPriority="63" w:unhideWhenUsed="0" w:name="Medium Shading 1 Accent 2"/>
    <w:lsdException w:semiHidden="0" w:uiPriority="64" w:unhideWhenUsed="0" w:name="Medium Shading 2 Accent 2"/>
    <w:lsdException w:semiHidden="0" w:uiPriority="65" w:unhideWhenUsed="0" w:name="Medium List 1 Accent 2"/>
    <w:lsdException w:semiHidden="0" w:uiPriority="66" w:unhideWhenUsed="0" w:name="Medium List 2 Accent 2"/>
    <w:lsdException w:semiHidden="0" w:uiPriority="67" w:unhideWhenUsed="0" w:name="Medium Grid 1 Accent 2"/>
    <w:lsdException w:semiHidden="0" w:uiPriority="68" w:unhideWhenUsed="0" w:name="Medium Grid 2 Accent 2"/>
    <w:lsdException w:semiHidden="0" w:uiPriority="69" w:unhideWhenUsed="0" w:name="Medium Grid 3 Accent 2"/>
    <w:lsdException w:semiHidden="0" w:uiPriority="70" w:unhideWhenUsed="0" w:name="Dark List Accent 2"/>
    <w:lsdException w:semiHidden="0" w:uiPriority="71" w:unhideWhenUsed="0" w:name="Colorful Shading Accent 2"/>
    <w:lsdException w:semiHidden="0" w:uiPriority="72" w:unhideWhenUsed="0" w:name="Colorful List Accent 2"/>
    <w:lsdException w:semiHidden="0" w:uiPriority="73" w:unhideWhenUsed="0" w:name="Colorful Grid Accent 2"/>
    <w:lsdException w:semiHidden="0" w:uiPriority="60" w:unhideWhenUsed="0" w:name="Light Shading Accent 3"/>
    <w:lsdException w:semiHidden="0" w:uiPriority="61" w:unhideWhenUsed="0" w:name="Light List Accent 3"/>
    <w:lsdException w:semiHidden="0" w:uiPriority="62" w:unhideWhenUsed="0" w:name="Light Grid Accent 3"/>
    <w:lsdException w:semiHidden="0" w:uiPriority="63" w:unhideWhenUsed="0" w:name="Medium Shading 1 Accent 3"/>
    <w:lsdException w:semiHidden="0" w:uiPriority="64" w:unhideWhenUsed="0" w:name="Medium Shading 2 Accent 3"/>
    <w:lsdException w:semiHidden="0" w:uiPriority="65" w:unhideWhenUsed="0" w:name="Medium List 1 Accent 3"/>
    <w:lsdException w:semiHidden="0" w:uiPriority="66" w:unhideWhenUsed="0" w:name="Medium List 2 Accent 3"/>
    <w:lsdException w:semiHidden="0" w:uiPriority="67" w:unhideWhenUsed="0" w:name="Medium Grid 1 Accent 3"/>
    <w:lsdException w:semiHidden="0" w:uiPriority="68" w:unhideWhenUsed="0" w:name="Medium Grid 2 Accent 3"/>
    <w:lsdException w:semiHidden="0" w:uiPriority="69" w:unhideWhenUsed="0" w:name="Medium Grid 3 Accent 3"/>
    <w:lsdException w:semiHidden="0" w:uiPriority="70" w:unhideWhenUsed="0" w:name="Dark List Accent 3"/>
    <w:lsdException w:semiHidden="0" w:uiPriority="71" w:unhideWhenUsed="0" w:name="Colorful Shading Accent 3"/>
    <w:lsdException w:semiHidden="0" w:uiPriority="72" w:unhideWhenUsed="0" w:name="Colorful List Accent 3"/>
    <w:lsdException w:semiHidden="0" w:uiPriority="73" w:unhideWhenUsed="0" w:name="Colorful Grid Accent 3"/>
    <w:lsdException w:semiHidden="0" w:uiPriority="60" w:unhideWhenUsed="0" w:name="Light Shading Accent 4"/>
    <w:lsdException w:semiHidden="0" w:uiPriority="61" w:unhideWhenUsed="0" w:name="Light List Accent 4"/>
    <w:lsdException w:semiHidden="0" w:uiPriority="62" w:unhideWhenUsed="0" w:name="Light Grid Accent 4"/>
    <w:lsdException w:semiHidden="0" w:uiPriority="63" w:unhideWhenUsed="0" w:name="Medium Shading 1 Accent 4"/>
    <w:lsdException w:semiHidden="0" w:uiPriority="64" w:unhideWhenUsed="0" w:name="Medium Shading 2 Accent 4"/>
    <w:lsdException w:semiHidden="0" w:uiPriority="65" w:unhideWhenUsed="0" w:name="Medium List 1 Accent 4"/>
    <w:lsdException w:semiHidden="0" w:uiPriority="66" w:unhideWhenUsed="0" w:name="Medium List 2 Accent 4"/>
    <w:lsdException w:semiHidden="0" w:uiPriority="67" w:unhideWhenUsed="0" w:name="Medium Grid 1 Accent 4"/>
    <w:lsdException w:semiHidden="0" w:uiPriority="68" w:unhideWhenUsed="0" w:name="Medium Grid 2 Accent 4"/>
    <w:lsdException w:semiHidden="0" w:uiPriority="69" w:unhideWhenUsed="0" w:name="Medium Grid 3 Accent 4"/>
    <w:lsdException w:semiHidden="0" w:uiPriority="70" w:unhideWhenUsed="0" w:name="Dark List Accent 4"/>
    <w:lsdException w:semiHidden="0" w:uiPriority="71" w:unhideWhenUsed="0" w:name="Colorful Shading Accent 4"/>
    <w:lsdException w:semiHidden="0" w:uiPriority="72" w:unhideWhenUsed="0" w:name="Colorful List Accent 4"/>
    <w:lsdException w:semiHidden="0" w:uiPriority="73" w:unhideWhenUsed="0" w:name="Colorful Grid Accent 4"/>
    <w:lsdException w:semiHidden="0" w:uiPriority="60" w:unhideWhenUsed="0" w:name="Light Shading Accent 5"/>
    <w:lsdException w:semiHidden="0" w:uiPriority="61" w:unhideWhenUsed="0" w:name="Light List Accent 5"/>
    <w:lsdException w:semiHidden="0" w:uiPriority="62" w:unhideWhenUsed="0" w:name="Light Grid Accent 5"/>
    <w:lsdException w:semiHidden="0" w:uiPriority="63" w:unhideWhenUsed="0" w:name="Medium Shading 1 Accent 5"/>
    <w:lsdException w:semiHidden="0" w:uiPriority="64" w:unhideWhenUsed="0" w:name="Medium Shading 2 Accent 5"/>
    <w:lsdException w:semiHidden="0" w:uiPriority="65" w:unhideWhenUsed="0" w:name="Medium List 1 Accent 5"/>
    <w:lsdException w:semiHidden="0" w:uiPriority="66" w:unhideWhenUsed="0" w:name="Medium List 2 Accent 5"/>
    <w:lsdException w:semiHidden="0" w:uiPriority="67" w:unhideWhenUsed="0" w:name="Medium Grid 1 Accent 5"/>
    <w:lsdException w:semiHidden="0" w:uiPriority="68" w:unhideWhenUsed="0" w:name="Medium Grid 2 Accent 5"/>
    <w:lsdException w:semiHidden="0" w:uiPriority="69" w:unhideWhenUsed="0" w:name="Medium Grid 3 Accent 5"/>
    <w:lsdException w:semiHidden="0" w:uiPriority="70" w:unhideWhenUsed="0" w:name="Dark List Accent 5"/>
    <w:lsdException w:semiHidden="0" w:uiPriority="71" w:unhideWhenUsed="0" w:name="Colorful Shading Accent 5"/>
    <w:lsdException w:semiHidden="0" w:uiPriority="72" w:unhideWhenUsed="0" w:name="Colorful List Accent 5"/>
    <w:lsdException w:semiHidden="0" w:uiPriority="73" w:unhideWhenUsed="0" w:name="Colorful Grid Accent 5"/>
    <w:lsdException w:semiHidden="0" w:uiPriority="60" w:unhideWhenUsed="0" w:name="Light Shading Accent 6"/>
    <w:lsdException w:semiHidden="0" w:uiPriority="61" w:unhideWhenUsed="0" w:name="Light List Accent 6"/>
    <w:lsdException w:semiHidden="0" w:uiPriority="62" w:unhideWhenUsed="0" w:name="Light Grid Accent 6"/>
    <w:lsdException w:semiHidden="0" w:uiPriority="63" w:unhideWhenUsed="0" w:name="Medium Shading 1 Accent 6"/>
    <w:lsdException w:semiHidden="0" w:uiPriority="64" w:unhideWhenUsed="0" w:name="Medium Shading 2 Accent 6"/>
    <w:lsdException w:semiHidden="0" w:uiPriority="65" w:unhideWhenUsed="0" w:name="Medium List 1 Accent 6"/>
    <w:lsdException w:semiHidden="0" w:uiPriority="66" w:unhideWhenUsed="0" w:name="Medium List 2 Accent 6"/>
    <w:lsdException w:semiHidden="0" w:uiPriority="67" w:unhideWhenUsed="0" w:name="Medium Grid 1 Accent 6"/>
    <w:lsdException w:semiHidden="0" w:uiPriority="68" w:unhideWhenUsed="0" w:name="Medium Grid 2 Accent 6"/>
    <w:lsdException w:semiHidden="0" w:uiPriority="69" w:unhideWhenUsed="0" w:name="Medium Grid 3 Accent 6"/>
    <w:lsdException w:semiHidden="0" w:uiPriority="70" w:unhideWhenUsed="0" w:name="Dark List Accent 6"/>
    <w:lsdException w:semiHidden="0" w:uiPriority="71" w:unhideWhenUsed="0" w:name="Colorful Shading Accent 6"/>
    <w:lsdException w:semiHidden="0" w:uiPriority="72" w:unhideWhenUsed="0" w:name="Colorful List Accent 6"/>
    <w:lsdException w:semiHidden="0" w:uiPriority="73" w:unhideWhenUsed="0" w:name="Colorful Grid Accent 6"/>
    <w:lsdException w:qFormat="1" w:semiHidden="0" w:uiPriority="19" w:unhideWhenUsed="0" w:name="Subtle Emphasis"/>
    <w:lsdException w:qFormat="1" w:semiHidden="0" w:uiPriority="21" w:unhideWhenUsed="0" w:name="Intense Emphasis"/>
    <w:lsdException w:qFormat="1" w:semiHidden="0" w:uiPriority="31" w:unhideWhenUsed="0" w:name="Subtle Reference"/>
    <w:lsdException w:qFormat="1" w:semiHidden="0" w:uiPriority="32" w:unhideWhenUsed="0" w:name="Intense Reference"/>
    <w:lsdException w:qFormat="1" w:semiHidden="0" w:uiPriority="33" w:unhideWhenUsed="0" w:name="Book Title"/>
    <w:lsdException w:uiPriority="37" w:name="Bibliography"/>
    <w:lsdException w:qFormat="1" w:uiPriority="39" w:name="TOC Heading"/>
  </w:latentStyles>
  <w:style w:type="paragraph" w:styleId="Normal" w:default="1">
    <w:name w:val="Normal"/>
    <w:qFormat/>
    <w:pPr>
      <w:widowControl/>
      <w:suppressAutoHyphens w:val="true"/>
      <w:bidi w:val="0"/>
      <w:spacing w:lineRule="auto" w:line="276" w:before="0" w:after="200"/>
      <w:jc w:val="left"/>
    </w:pPr>
    <w:rPr>
      <w:rFonts w:ascii="Calibri" w:hAnsi="Calibri" w:eastAsia="Droid Sans Fallback" w:cs=""/>
      <w:color w:val="auto"/>
      <w:sz w:val="22"/>
      <w:szCs w:val="22"/>
      <w:lang w:val="es-ES" w:eastAsia="en-US" w:bidi="ar-SA"/>
    </w:rPr>
  </w:style>
  <w:style w:type="character" w:styleId="DefaultParagraphFont" w:default="1">
    <w:name w:val="Default Paragraph Font"/>
    <w:uiPriority w:val="1"/>
    <w:semiHidden/>
    <w:unhideWhenUsed/>
    <w:rPr/>
  </w:style>
  <w:style w:type="paragraph" w:styleId="Encabezado">
    <w:name w:val="Encabezado"/>
    <w:basedOn w:val="Normal"/>
    <w:next w:val="Cuerpodetexto"/>
    <w:pPr>
      <w:keepNext/>
      <w:spacing w:before="240" w:after="120"/>
    </w:pPr>
    <w:rPr>
      <w:rFonts w:ascii="Liberation Sans" w:hAnsi="Liberation Sans" w:eastAsia="Droid Sans Fallback" w:cs="FreeSans"/>
      <w:sz w:val="28"/>
      <w:szCs w:val="28"/>
    </w:rPr>
  </w:style>
  <w:style w:type="paragraph" w:styleId="Cuerpodetexto">
    <w:name w:val="Cuerpo de texto"/>
    <w:basedOn w:val="Normal"/>
    <w:pPr>
      <w:spacing w:lineRule="auto" w:line="288" w:before="0" w:after="140"/>
    </w:pPr>
    <w:rPr/>
  </w:style>
  <w:style w:type="paragraph" w:styleId="Lista">
    <w:name w:val="Lista"/>
    <w:basedOn w:val="Cuerpodetexto"/>
    <w:pPr/>
    <w:rPr>
      <w:rFonts w:cs="FreeSans"/>
    </w:rPr>
  </w:style>
  <w:style w:type="paragraph" w:styleId="Pie">
    <w:name w:val="Pie"/>
    <w:basedOn w:val="Normal"/>
    <w:pPr>
      <w:suppressLineNumbers/>
      <w:spacing w:before="120" w:after="120"/>
    </w:pPr>
    <w:rPr>
      <w:rFonts w:cs="FreeSans"/>
      <w:i/>
      <w:iCs/>
      <w:sz w:val="24"/>
      <w:szCs w:val="24"/>
    </w:rPr>
  </w:style>
  <w:style w:type="paragraph" w:styleId="Ndice">
    <w:name w:val="Índice"/>
    <w:basedOn w:val="Normal"/>
    <w:pPr>
      <w:suppressLineNumbers/>
    </w:pPr>
    <w:rPr>
      <w:rFonts w:cs="FreeSans"/>
    </w:rPr>
  </w:style>
  <w:style w:type="numbering" w:styleId="NoList" w:default="1">
    <w:name w:val="No List"/>
    <w:uiPriority w:val="99"/>
    <w:semiHidden/>
    <w:unhideWhenUsed/>
  </w:style>
  <w:style w:type="table" w:default="1" w:styleId="Tabla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2016-03-07T17:51:00Z</dcterms:created>
  <dc:creator>Usuario</dc:creator>
  <dc:language>es-ES</dc:language>
  <cp:lastModifiedBy>Usuario</cp:lastModifiedBy>
  <dcterms:modified xsi:type="dcterms:W3CDTF">2016-03-07T17:51:00Z</dcterms:modified>
  <cp:revision>2</cp:revision>
</cp:coreProperties>
</file>